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40"/>
          <w:szCs w:val="40"/>
          <w:u w:val="single"/>
        </w:rPr>
        <w:id w:val="345833075"/>
        <w:docPartObj>
          <w:docPartGallery w:val="Cover Pages"/>
          <w:docPartUnique/>
        </w:docPartObj>
      </w:sdtPr>
      <w:sdtEndPr/>
      <w:sdtContent>
        <w:p w:rsidR="005D37BE" w:rsidRDefault="002D6198">
          <w:pPr>
            <w:rPr>
              <w:rFonts w:cs="Arial"/>
              <w:b/>
              <w:sz w:val="40"/>
              <w:szCs w:val="40"/>
              <w:u w:val="single"/>
            </w:rPr>
          </w:pPr>
          <w:r w:rsidRPr="005D37BE">
            <w:rPr>
              <w:rFonts w:cs="Arial"/>
              <w:b/>
              <w:noProof/>
              <w:sz w:val="40"/>
              <w:szCs w:val="40"/>
              <w:u w:val="single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0" allowOverlap="1" wp14:anchorId="0DD51060" wp14:editId="41E1D95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6200140"/>
                    <wp:effectExtent l="38100" t="0" r="40640" b="4826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6200140"/>
                              <a:chOff x="0" y="5625"/>
                              <a:chExt cx="12240" cy="8774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365F91" w:themeColor="accent1" w:themeShade="BF"/>
                                      <w:sz w:val="56"/>
                                      <w:szCs w:val="56"/>
                                      <w14:numForm w14:val="oldStyle"/>
                                    </w:rPr>
                                    <w:alias w:val="Year"/>
                                    <w:id w:val="-114434694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D37BE" w:rsidRPr="00244257" w:rsidRDefault="006C126D">
                                      <w:pPr>
                                        <w:jc w:val="right"/>
                                        <w:rPr>
                                          <w:color w:val="365F91" w:themeColor="accent1" w:themeShade="BF"/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color w:val="365F91" w:themeColor="accent1" w:themeShade="BF"/>
                                          <w:sz w:val="56"/>
                                          <w:szCs w:val="56"/>
                                          <w14:numForm w14:val="oldStyle"/>
                                        </w:rPr>
                                        <w:t>2015 / 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6" y="5625"/>
                                <a:ext cx="8638" cy="379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ED09A1" w:rsidRDefault="002D6198" w:rsidP="002D619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  <w:t xml:space="preserve">Carlisle City Council       </w:t>
                                  </w:r>
                                  <w:r w:rsidR="0090349F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  <w:tab/>
                                    <w:t xml:space="preserve">Off </w:t>
                                  </w:r>
                                  <w:r w:rsidR="005D37BE" w:rsidRPr="00244257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  <w:t>Street</w:t>
                                  </w:r>
                                  <w:r w:rsidR="00526DE5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  <w:t xml:space="preserve"> Parking</w:t>
                                  </w:r>
                                </w:p>
                                <w:p w:rsidR="005D37BE" w:rsidRPr="00244257" w:rsidRDefault="00526DE5" w:rsidP="002D619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  <w:t>Annual</w:t>
                                  </w:r>
                                  <w:r w:rsidR="00ED09A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  <w:t xml:space="preserve"> Report</w:t>
                                  </w:r>
                                  <w:r w:rsidR="005D37BE" w:rsidRPr="00244257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365F91" w:themeColor="accent1" w:themeShade="BF"/>
                                        <w:sz w:val="72"/>
                                        <w:szCs w:val="72"/>
                                      </w:rPr>
                                      <w:alias w:val="Title"/>
                                      <w:id w:val="1638764010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244257">
                                        <w:rPr>
                                          <w:b/>
                                          <w:bCs/>
                                          <w:color w:val="365F91" w:themeColor="accent1" w:themeShade="BF"/>
                                          <w:sz w:val="72"/>
                                          <w:szCs w:val="7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:rsidR="005D37BE" w:rsidRDefault="005D37BE" w:rsidP="002D61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D37BE" w:rsidRDefault="005D37B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2pt;height:488.2pt;z-index:251673600;mso-width-percent:1000;mso-position-horizontal:center;mso-position-horizontal-relative:page;mso-position-vertical:center;mso-position-vertical-relative:margin;mso-width-percent:1000;mso-height-relative:margin" coordorigin=",5625" coordsize="12240,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    <v:textbox>
                        <w:txbxContent>
                          <w:sdt>
                            <w:sdtPr>
                              <w:rPr>
                                <w:color w:val="365F91" w:themeColor="accent1" w:themeShade="BF"/>
                                <w:sz w:val="56"/>
                                <w:szCs w:val="56"/>
                                <w14:numForm w14:val="oldStyle"/>
                              </w:rPr>
                              <w:alias w:val="Year"/>
                              <w:id w:val="-114434694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37BE" w:rsidRPr="00244257" w:rsidRDefault="006C126D">
                                <w:pPr>
                                  <w:jc w:val="right"/>
                                  <w:rPr>
                                    <w:color w:val="365F91" w:themeColor="accent1" w:themeShade="BF"/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color w:val="365F91" w:themeColor="accent1" w:themeShade="BF"/>
                                    <w:sz w:val="56"/>
                                    <w:szCs w:val="56"/>
                                    <w14:numForm w14:val="oldStyle"/>
                                  </w:rPr>
                                  <w:t>2015 / 2016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9" style="position:absolute;left:2086;top:5625;width:8638;height:379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ED09A1" w:rsidRDefault="002D6198" w:rsidP="002D61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Carlisle City Council       </w:t>
                            </w:r>
                            <w:r w:rsidR="0090349F"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  <w:tab/>
                              <w:t xml:space="preserve">Off </w:t>
                            </w:r>
                            <w:r w:rsidR="005D37BE" w:rsidRPr="00244257"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Street</w:t>
                            </w:r>
                            <w:r w:rsidR="00526DE5"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Parking</w:t>
                            </w:r>
                          </w:p>
                          <w:p w:rsidR="005D37BE" w:rsidRPr="00244257" w:rsidRDefault="00526DE5" w:rsidP="002D61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Annual</w:t>
                            </w:r>
                            <w:r w:rsidR="00ED09A1"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ED09A1"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Report</w:t>
                            </w:r>
                            <w:r w:rsidR="005D37BE" w:rsidRPr="00244257"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365F91" w:themeColor="accent1" w:themeShade="BF"/>
                                  <w:sz w:val="72"/>
                                  <w:szCs w:val="72"/>
                                </w:rPr>
                                <w:alias w:val="Title"/>
                                <w:id w:val="1638764010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44257"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5D37BE" w:rsidRDefault="005D37BE" w:rsidP="002D61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D37BE" w:rsidRDefault="005D37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b/>
              <w:noProof/>
              <w:sz w:val="16"/>
              <w:szCs w:val="16"/>
              <w:lang w:eastAsia="en-GB"/>
            </w:rPr>
            <w:drawing>
              <wp:anchor distT="0" distB="0" distL="114300" distR="114300" simplePos="0" relativeHeight="251677696" behindDoc="0" locked="0" layoutInCell="0" allowOverlap="1" wp14:anchorId="105AB2E0" wp14:editId="028CE291">
                <wp:simplePos x="0" y="0"/>
                <wp:positionH relativeFrom="column">
                  <wp:posOffset>2447925</wp:posOffset>
                </wp:positionH>
                <wp:positionV relativeFrom="page">
                  <wp:posOffset>714375</wp:posOffset>
                </wp:positionV>
                <wp:extent cx="1104900" cy="962025"/>
                <wp:effectExtent l="0" t="0" r="0" b="9525"/>
                <wp:wrapNone/>
                <wp:docPr id="3" name="Picture 4" descr="cclogo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clogo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D37BE">
            <w:rPr>
              <w:rFonts w:cs="Arial"/>
              <w:b/>
              <w:sz w:val="40"/>
              <w:szCs w:val="40"/>
              <w:u w:val="single"/>
            </w:rPr>
            <w:br w:type="page"/>
          </w:r>
        </w:p>
        <w:permStart w:id="1082922700" w:edGrp="everyone" w:displacedByCustomXml="next"/>
        <w:permEnd w:id="1082922700" w:displacedByCustomXml="next"/>
      </w:sdtContent>
    </w:sdt>
    <w:p w:rsidR="002D6198" w:rsidRDefault="002D6198" w:rsidP="002D6198">
      <w:pPr>
        <w:rPr>
          <w:rFonts w:cs="Arial"/>
          <w:b/>
          <w:sz w:val="24"/>
          <w:szCs w:val="24"/>
          <w:u w:val="single"/>
        </w:rPr>
      </w:pPr>
    </w:p>
    <w:p w:rsidR="009034BB" w:rsidRPr="00D0132F" w:rsidRDefault="00D0132F" w:rsidP="002D6198">
      <w:pPr>
        <w:rPr>
          <w:rFonts w:cs="Arial"/>
          <w:b/>
          <w:sz w:val="24"/>
          <w:szCs w:val="24"/>
          <w:u w:val="single"/>
        </w:rPr>
      </w:pPr>
      <w:r w:rsidRPr="00D0132F">
        <w:rPr>
          <w:rFonts w:cs="Arial"/>
          <w:b/>
          <w:sz w:val="24"/>
          <w:szCs w:val="24"/>
          <w:u w:val="single"/>
        </w:rPr>
        <w:t>Introduction</w:t>
      </w:r>
    </w:p>
    <w:p w:rsidR="002D6198" w:rsidRPr="00510427" w:rsidRDefault="00AF036B" w:rsidP="002D61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Traffic </w:t>
      </w:r>
      <w:r w:rsidR="00810073">
        <w:rPr>
          <w:rFonts w:cs="Arial"/>
          <w:sz w:val="24"/>
          <w:szCs w:val="24"/>
        </w:rPr>
        <w:t>Management Act</w:t>
      </w:r>
      <w:r>
        <w:rPr>
          <w:rFonts w:cs="Arial"/>
          <w:sz w:val="24"/>
          <w:szCs w:val="24"/>
        </w:rPr>
        <w:t xml:space="preserve"> 2004 introduced a requirement for Enforcement Authorities to report on their Parking Enforcement Activities on an annual basis.</w:t>
      </w:r>
    </w:p>
    <w:p w:rsidR="00197F25" w:rsidRDefault="00197F2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Carlisle City Council operates a number of ‘Off Street’ car parks</w:t>
      </w:r>
      <w:r w:rsidR="003513D0">
        <w:rPr>
          <w:rFonts w:cs="Arial"/>
          <w:sz w:val="24"/>
          <w:szCs w:val="24"/>
        </w:rPr>
        <w:t xml:space="preserve"> most of which are operated as </w:t>
      </w:r>
      <w:r>
        <w:rPr>
          <w:rFonts w:cs="Arial"/>
          <w:sz w:val="24"/>
          <w:szCs w:val="24"/>
        </w:rPr>
        <w:t>Pay &amp; Display</w:t>
      </w:r>
      <w:r w:rsidR="003F1AB9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Enforcement activity </w:t>
      </w:r>
      <w:r w:rsidR="003F1AB9">
        <w:rPr>
          <w:rFonts w:cs="Arial"/>
          <w:sz w:val="24"/>
          <w:szCs w:val="24"/>
        </w:rPr>
        <w:t xml:space="preserve">is undertaken </w:t>
      </w:r>
      <w:r>
        <w:rPr>
          <w:rFonts w:cs="Arial"/>
          <w:sz w:val="24"/>
          <w:szCs w:val="24"/>
        </w:rPr>
        <w:t>i</w:t>
      </w:r>
      <w:r w:rsidR="003F1AB9">
        <w:rPr>
          <w:rFonts w:cs="Arial"/>
          <w:sz w:val="24"/>
          <w:szCs w:val="24"/>
        </w:rPr>
        <w:t>n these car parks</w:t>
      </w:r>
      <w:r>
        <w:rPr>
          <w:rFonts w:cs="Arial"/>
          <w:sz w:val="24"/>
          <w:szCs w:val="24"/>
        </w:rPr>
        <w:t xml:space="preserve"> by</w:t>
      </w:r>
      <w:r w:rsidR="003F1AB9">
        <w:rPr>
          <w:rFonts w:cs="Arial"/>
          <w:sz w:val="24"/>
          <w:szCs w:val="24"/>
        </w:rPr>
        <w:t xml:space="preserve"> Carlisle City Council and this report is published to report on those activities.</w:t>
      </w:r>
      <w:r>
        <w:rPr>
          <w:rFonts w:cs="Arial"/>
          <w:sz w:val="24"/>
          <w:szCs w:val="24"/>
        </w:rPr>
        <w:t xml:space="preserve"> </w:t>
      </w:r>
    </w:p>
    <w:p w:rsidR="00197F25" w:rsidRPr="003F1AB9" w:rsidRDefault="00197F25" w:rsidP="003F1AB9">
      <w:pPr>
        <w:rPr>
          <w:rFonts w:cs="Arial"/>
          <w:sz w:val="24"/>
          <w:szCs w:val="24"/>
        </w:rPr>
      </w:pPr>
    </w:p>
    <w:p w:rsidR="003F1AB9" w:rsidRDefault="003F1AB9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Legal provisions</w:t>
      </w:r>
    </w:p>
    <w:p w:rsidR="005A224E" w:rsidRDefault="003F1AB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Traffic Management Act 2004 (TMA) lays down the requirements under which Civil Parking Enforcement is carried out. </w:t>
      </w:r>
      <w:r w:rsidR="003513D0">
        <w:rPr>
          <w:rFonts w:cs="Arial"/>
          <w:sz w:val="24"/>
          <w:szCs w:val="24"/>
        </w:rPr>
        <w:t xml:space="preserve">These provisions </w:t>
      </w:r>
      <w:r w:rsidR="00B10CFA">
        <w:rPr>
          <w:rFonts w:cs="Arial"/>
          <w:sz w:val="24"/>
          <w:szCs w:val="24"/>
        </w:rPr>
        <w:t>apply to ‘Off</w:t>
      </w:r>
      <w:r w:rsidR="005A224E">
        <w:rPr>
          <w:rFonts w:cs="Arial"/>
          <w:sz w:val="24"/>
          <w:szCs w:val="24"/>
        </w:rPr>
        <w:t xml:space="preserve"> Street’</w:t>
      </w:r>
      <w:r w:rsidR="003513D0">
        <w:rPr>
          <w:rFonts w:cs="Arial"/>
          <w:sz w:val="24"/>
          <w:szCs w:val="24"/>
        </w:rPr>
        <w:t xml:space="preserve"> </w:t>
      </w:r>
      <w:r w:rsidR="005A224E">
        <w:rPr>
          <w:rFonts w:cs="Arial"/>
          <w:sz w:val="24"/>
          <w:szCs w:val="24"/>
        </w:rPr>
        <w:t xml:space="preserve">car parks or parking places as well as </w:t>
      </w:r>
      <w:r w:rsidR="00B10CFA">
        <w:rPr>
          <w:rFonts w:cs="Arial"/>
          <w:sz w:val="24"/>
          <w:szCs w:val="24"/>
        </w:rPr>
        <w:t>‘On</w:t>
      </w:r>
      <w:r w:rsidR="003513D0">
        <w:rPr>
          <w:rFonts w:cs="Arial"/>
          <w:sz w:val="24"/>
          <w:szCs w:val="24"/>
        </w:rPr>
        <w:t xml:space="preserve"> Street’ parking places. </w:t>
      </w:r>
    </w:p>
    <w:p w:rsidR="005A224E" w:rsidRDefault="003F1AB9" w:rsidP="005A224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car parks Carlisle City Council operate are subject to a</w:t>
      </w:r>
      <w:r w:rsidR="005A224E">
        <w:rPr>
          <w:rFonts w:cs="Arial"/>
          <w:sz w:val="24"/>
          <w:szCs w:val="24"/>
        </w:rPr>
        <w:t xml:space="preserve"> Traffic Regulation Order or TRO </w:t>
      </w:r>
    </w:p>
    <w:p w:rsidR="005A224E" w:rsidRPr="005A224E" w:rsidRDefault="005A224E" w:rsidP="005A224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r w:rsidRPr="005A224E">
        <w:rPr>
          <w:rFonts w:cs="Arial"/>
          <w:sz w:val="24"/>
          <w:szCs w:val="24"/>
        </w:rPr>
        <w:t>THE COUNCIL OF THE CITY OF CARLISLE (OFF STREET PARKING PLACES)</w:t>
      </w:r>
    </w:p>
    <w:p w:rsidR="005A224E" w:rsidRDefault="005A224E" w:rsidP="005A224E">
      <w:pPr>
        <w:spacing w:after="0" w:line="240" w:lineRule="auto"/>
        <w:rPr>
          <w:rFonts w:cs="Arial"/>
          <w:sz w:val="24"/>
          <w:szCs w:val="24"/>
        </w:rPr>
      </w:pPr>
      <w:r w:rsidRPr="005A224E">
        <w:rPr>
          <w:rFonts w:cs="Arial"/>
          <w:sz w:val="24"/>
          <w:szCs w:val="24"/>
        </w:rPr>
        <w:t>(CONSOLIDATION AND MINOR AMENDMENT VARIATION PAY BY TELEPHONE) ORDER 2012</w:t>
      </w:r>
      <w:r>
        <w:rPr>
          <w:rFonts w:cs="Arial"/>
          <w:sz w:val="24"/>
          <w:szCs w:val="24"/>
        </w:rPr>
        <w:t>)</w:t>
      </w:r>
    </w:p>
    <w:p w:rsidR="00B10CFA" w:rsidRPr="005A224E" w:rsidRDefault="00B10CFA" w:rsidP="005A224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And other subsequent variation orders made after 2012.</w:t>
      </w:r>
    </w:p>
    <w:p w:rsidR="005A224E" w:rsidRDefault="005A224E" w:rsidP="005A224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A224E" w:rsidRPr="005A224E" w:rsidRDefault="005A224E" w:rsidP="005A224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1AB9" w:rsidRDefault="005A224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order and its amendments detail the car park regulations. The order allows Carlisle City Council to issue Penalty Charge Notices</w:t>
      </w:r>
      <w:r w:rsidR="00CB1BB9">
        <w:rPr>
          <w:rFonts w:cs="Arial"/>
          <w:sz w:val="24"/>
          <w:szCs w:val="24"/>
        </w:rPr>
        <w:t xml:space="preserve"> (PCNs)</w:t>
      </w:r>
      <w:r>
        <w:rPr>
          <w:rFonts w:cs="Arial"/>
          <w:sz w:val="24"/>
          <w:szCs w:val="24"/>
        </w:rPr>
        <w:t xml:space="preserve"> for certain contraventions of the order. The issue of these notices and the procedures which follow their issue are laid down by the TMA and regulations made under it.</w:t>
      </w:r>
    </w:p>
    <w:p w:rsidR="005A224E" w:rsidRPr="003F1AB9" w:rsidRDefault="005A224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Patrols and Enforcement activities in the car parks are carried out by Civil Enforcement Officers (CEOs) employed by Carlisle City Council. </w:t>
      </w:r>
    </w:p>
    <w:p w:rsidR="00B93193" w:rsidRDefault="00B93193">
      <w:pPr>
        <w:rPr>
          <w:rFonts w:cs="Arial"/>
          <w:b/>
          <w:sz w:val="24"/>
          <w:szCs w:val="24"/>
          <w:u w:val="single"/>
        </w:rPr>
      </w:pPr>
    </w:p>
    <w:p w:rsidR="00E4023C" w:rsidRPr="007C604E" w:rsidRDefault="00B93193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Carlisle City Council Car Parks</w:t>
      </w:r>
    </w:p>
    <w:p w:rsidR="00A2137A" w:rsidRDefault="00A2137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are 13</w:t>
      </w:r>
      <w:r w:rsidR="00B93193">
        <w:rPr>
          <w:rFonts w:cs="Arial"/>
          <w:sz w:val="24"/>
          <w:szCs w:val="24"/>
        </w:rPr>
        <w:t xml:space="preserve"> Pay &amp; Display Car Parks within the Carlisle district </w:t>
      </w:r>
      <w:r w:rsidR="00526DE5">
        <w:rPr>
          <w:rFonts w:cs="Arial"/>
          <w:sz w:val="24"/>
          <w:szCs w:val="24"/>
        </w:rPr>
        <w:t>and most are located in the City C</w:t>
      </w:r>
      <w:r w:rsidR="00B93193">
        <w:rPr>
          <w:rFonts w:cs="Arial"/>
          <w:sz w:val="24"/>
          <w:szCs w:val="24"/>
        </w:rPr>
        <w:t>ent</w:t>
      </w:r>
      <w:r>
        <w:rPr>
          <w:rFonts w:cs="Arial"/>
          <w:sz w:val="24"/>
          <w:szCs w:val="24"/>
        </w:rPr>
        <w:t>re to service the needs of shoppers, visitors, commuters, workers, recreational and leisure facility users.</w:t>
      </w:r>
    </w:p>
    <w:p w:rsidR="00CB5B7A" w:rsidRPr="005C16D5" w:rsidRDefault="00A2137A" w:rsidP="005C1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Carlisle City Council also operate </w:t>
      </w:r>
      <w:r>
        <w:t>four</w:t>
      </w:r>
      <w:r w:rsidR="00FF5B22">
        <w:t xml:space="preserve"> Disc cont</w:t>
      </w:r>
      <w:r>
        <w:t>rolled Car Parks, one permit holders only car park</w:t>
      </w:r>
      <w:r w:rsidR="005C16D5">
        <w:t xml:space="preserve">, </w:t>
      </w:r>
      <w:r w:rsidR="005C16D5">
        <w:rPr>
          <w:rFonts w:cs="Arial"/>
          <w:sz w:val="24"/>
          <w:szCs w:val="24"/>
        </w:rPr>
        <w:t>five free car parks, two loading area and one public service vehicle area.</w:t>
      </w:r>
    </w:p>
    <w:p w:rsidR="00CB1BB9" w:rsidRDefault="00CB1BB9" w:rsidP="009034BB">
      <w:pPr>
        <w:rPr>
          <w:rFonts w:cs="Arial"/>
          <w:b/>
          <w:sz w:val="24"/>
          <w:szCs w:val="24"/>
          <w:u w:val="single"/>
        </w:rPr>
      </w:pPr>
    </w:p>
    <w:p w:rsidR="00B10CFA" w:rsidRDefault="00B10CFA" w:rsidP="009034BB">
      <w:pPr>
        <w:rPr>
          <w:rFonts w:cs="Arial"/>
          <w:b/>
          <w:sz w:val="24"/>
          <w:szCs w:val="24"/>
          <w:u w:val="single"/>
        </w:rPr>
      </w:pPr>
    </w:p>
    <w:p w:rsidR="00B10CFA" w:rsidRDefault="00B10CFA" w:rsidP="009034BB">
      <w:pPr>
        <w:rPr>
          <w:rFonts w:cs="Arial"/>
          <w:b/>
          <w:sz w:val="24"/>
          <w:szCs w:val="24"/>
          <w:u w:val="single"/>
        </w:rPr>
      </w:pPr>
    </w:p>
    <w:p w:rsidR="0034694F" w:rsidRPr="007C604E" w:rsidRDefault="00774522" w:rsidP="009034BB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Enforcement</w:t>
      </w:r>
    </w:p>
    <w:p w:rsidR="00D85E70" w:rsidRPr="00D85E70" w:rsidRDefault="00E4023C" w:rsidP="009034BB">
      <w:pPr>
        <w:rPr>
          <w:rFonts w:cs="Arial"/>
          <w:sz w:val="24"/>
          <w:szCs w:val="24"/>
        </w:rPr>
      </w:pPr>
      <w:r w:rsidRPr="00D85E70">
        <w:rPr>
          <w:rFonts w:cs="Arial"/>
          <w:sz w:val="24"/>
          <w:szCs w:val="24"/>
        </w:rPr>
        <w:t>Carlisle City Council</w:t>
      </w:r>
      <w:r w:rsidR="00774522" w:rsidRPr="00D85E70">
        <w:rPr>
          <w:rFonts w:cs="Arial"/>
          <w:sz w:val="24"/>
          <w:szCs w:val="24"/>
        </w:rPr>
        <w:t xml:space="preserve"> employs two Civil Enforcement Officers (CEOs)</w:t>
      </w:r>
      <w:r w:rsidR="009E3EB0">
        <w:rPr>
          <w:rFonts w:cs="Arial"/>
          <w:sz w:val="24"/>
          <w:szCs w:val="24"/>
        </w:rPr>
        <w:t xml:space="preserve"> FTE 1.4</w:t>
      </w:r>
      <w:r w:rsidR="00774522" w:rsidRPr="00D85E70">
        <w:rPr>
          <w:rFonts w:cs="Arial"/>
          <w:sz w:val="24"/>
          <w:szCs w:val="24"/>
        </w:rPr>
        <w:t xml:space="preserve"> to patrol and enforce off street parking matters.</w:t>
      </w:r>
      <w:r w:rsidR="00D85E70" w:rsidRPr="00D85E70">
        <w:rPr>
          <w:rFonts w:cs="Arial"/>
          <w:sz w:val="24"/>
          <w:szCs w:val="24"/>
        </w:rPr>
        <w:t xml:space="preserve"> . The CEOs form part of the Neighbourhood Enforcement team within the Local Environment directorate. </w:t>
      </w:r>
    </w:p>
    <w:p w:rsidR="00526DE5" w:rsidRDefault="00526DE5" w:rsidP="009034BB">
      <w:pPr>
        <w:rPr>
          <w:rFonts w:cs="Arial"/>
          <w:sz w:val="24"/>
          <w:szCs w:val="24"/>
        </w:rPr>
      </w:pPr>
    </w:p>
    <w:p w:rsidR="00774522" w:rsidRPr="00D85E70" w:rsidRDefault="00774522" w:rsidP="009034BB">
      <w:pPr>
        <w:rPr>
          <w:rFonts w:cs="Arial"/>
          <w:sz w:val="24"/>
          <w:szCs w:val="24"/>
        </w:rPr>
      </w:pPr>
      <w:r w:rsidRPr="00D85E70">
        <w:rPr>
          <w:rFonts w:cs="Arial"/>
          <w:sz w:val="24"/>
          <w:szCs w:val="24"/>
        </w:rPr>
        <w:t>The CEOs are all trained to nationally recognised</w:t>
      </w:r>
      <w:r w:rsidR="00D85E70" w:rsidRPr="00D85E70">
        <w:rPr>
          <w:rFonts w:cs="Arial"/>
          <w:sz w:val="24"/>
          <w:szCs w:val="24"/>
        </w:rPr>
        <w:t xml:space="preserve"> standards. It is their role to</w:t>
      </w:r>
      <w:r w:rsidRPr="00D85E70">
        <w:rPr>
          <w:rFonts w:cs="Arial"/>
          <w:sz w:val="24"/>
          <w:szCs w:val="24"/>
        </w:rPr>
        <w:t xml:space="preserve"> ensure parking compliance is </w:t>
      </w:r>
      <w:r w:rsidR="00D85E70" w:rsidRPr="00D85E70">
        <w:rPr>
          <w:rFonts w:cs="Arial"/>
          <w:sz w:val="24"/>
          <w:szCs w:val="24"/>
        </w:rPr>
        <w:t>met and also help to ensure any defects or issues affecting the car parks are reported and rectified.</w:t>
      </w:r>
    </w:p>
    <w:p w:rsidR="00CB1BB9" w:rsidRPr="00CB1BB9" w:rsidRDefault="00CB1BB9" w:rsidP="00CB1BB9">
      <w:pPr>
        <w:rPr>
          <w:rFonts w:cs="Arial"/>
          <w:b/>
          <w:sz w:val="24"/>
          <w:szCs w:val="24"/>
          <w:u w:val="single"/>
        </w:rPr>
      </w:pPr>
      <w:r w:rsidRPr="00CB1BB9">
        <w:rPr>
          <w:b/>
        </w:rPr>
        <w:t xml:space="preserve">It is the aim of Carlisle City Council to </w:t>
      </w:r>
      <w:r w:rsidRPr="00CB1BB9">
        <w:rPr>
          <w:rFonts w:cs="Arial"/>
          <w:b/>
          <w:sz w:val="24"/>
          <w:szCs w:val="24"/>
        </w:rPr>
        <w:t xml:space="preserve">increase parking compliance and deliver transparent, fair and consistent parking enforcement. </w:t>
      </w:r>
    </w:p>
    <w:p w:rsidR="002877A4" w:rsidRDefault="002877A4" w:rsidP="009034BB">
      <w:pPr>
        <w:rPr>
          <w:rFonts w:cs="Arial"/>
          <w:b/>
          <w:sz w:val="24"/>
          <w:szCs w:val="24"/>
        </w:rPr>
      </w:pPr>
    </w:p>
    <w:p w:rsidR="00D85E70" w:rsidRDefault="00D85E70" w:rsidP="009034BB">
      <w:pPr>
        <w:rPr>
          <w:rFonts w:cs="Arial"/>
          <w:b/>
          <w:sz w:val="24"/>
          <w:szCs w:val="24"/>
          <w:u w:val="single"/>
        </w:rPr>
      </w:pPr>
      <w:r w:rsidRPr="00D85E70">
        <w:rPr>
          <w:rFonts w:cs="Arial"/>
          <w:b/>
          <w:sz w:val="24"/>
          <w:szCs w:val="24"/>
          <w:u w:val="single"/>
        </w:rPr>
        <w:t>Penalty Charge Notices</w:t>
      </w:r>
    </w:p>
    <w:p w:rsidR="00D85E70" w:rsidRDefault="00D85E70" w:rsidP="009034B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Penalty Charge Notice (PCN) will</w:t>
      </w:r>
      <w:r w:rsidR="000D048D">
        <w:rPr>
          <w:rFonts w:cs="Arial"/>
          <w:sz w:val="24"/>
          <w:szCs w:val="24"/>
        </w:rPr>
        <w:t xml:space="preserve"> be issued to a vehicle when a CEO believes the TRO has been contravened. The level</w:t>
      </w:r>
      <w:r w:rsidR="00526DE5">
        <w:rPr>
          <w:rFonts w:cs="Arial"/>
          <w:sz w:val="24"/>
          <w:szCs w:val="24"/>
        </w:rPr>
        <w:t>s of PCN charges are</w:t>
      </w:r>
      <w:r w:rsidR="000D048D">
        <w:rPr>
          <w:rFonts w:cs="Arial"/>
          <w:sz w:val="24"/>
          <w:szCs w:val="24"/>
        </w:rPr>
        <w:t xml:space="preserve"> </w:t>
      </w:r>
      <w:r w:rsidR="00526DE5">
        <w:rPr>
          <w:rFonts w:cs="Arial"/>
          <w:sz w:val="24"/>
          <w:szCs w:val="24"/>
        </w:rPr>
        <w:t>set by central government; the City Council has adopted a charge</w:t>
      </w:r>
      <w:r w:rsidR="000D048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currently</w:t>
      </w:r>
      <w:r w:rsidR="00526DE5">
        <w:rPr>
          <w:rFonts w:cs="Arial"/>
          <w:sz w:val="24"/>
          <w:szCs w:val="24"/>
        </w:rPr>
        <w:t xml:space="preserve"> of</w:t>
      </w:r>
      <w:r>
        <w:rPr>
          <w:rFonts w:cs="Arial"/>
          <w:sz w:val="24"/>
          <w:szCs w:val="24"/>
        </w:rPr>
        <w:t xml:space="preserve"> £50 for a lower level contravention and £70 for a higher level contravention. If the charge is paid within 14 days a 50%</w:t>
      </w:r>
      <w:r w:rsidR="000D048D">
        <w:rPr>
          <w:rFonts w:cs="Arial"/>
          <w:sz w:val="24"/>
          <w:szCs w:val="24"/>
        </w:rPr>
        <w:t xml:space="preserve"> reduction will apply.</w:t>
      </w:r>
    </w:p>
    <w:p w:rsidR="000D048D" w:rsidRDefault="000D048D" w:rsidP="009034B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Once a PCN has been issued, the driver may submit a challenge. This is known as an </w:t>
      </w:r>
      <w:r w:rsidR="00876696">
        <w:rPr>
          <w:rFonts w:cs="Arial"/>
          <w:sz w:val="24"/>
          <w:szCs w:val="24"/>
        </w:rPr>
        <w:t>informal challenge or representation</w:t>
      </w:r>
      <w:r>
        <w:rPr>
          <w:rFonts w:cs="Arial"/>
          <w:sz w:val="24"/>
          <w:szCs w:val="24"/>
        </w:rPr>
        <w:t>. The challenge will be considered based on the evidence provided and a decision to e</w:t>
      </w:r>
      <w:r w:rsidR="00876696">
        <w:rPr>
          <w:rFonts w:cs="Arial"/>
          <w:sz w:val="24"/>
          <w:szCs w:val="24"/>
        </w:rPr>
        <w:t>ither accept or reject the challenge</w:t>
      </w:r>
      <w:r>
        <w:rPr>
          <w:rFonts w:cs="Arial"/>
          <w:sz w:val="24"/>
          <w:szCs w:val="24"/>
        </w:rPr>
        <w:t xml:space="preserve"> will be made</w:t>
      </w:r>
      <w:r w:rsidR="00876696">
        <w:rPr>
          <w:rFonts w:cs="Arial"/>
          <w:sz w:val="24"/>
          <w:szCs w:val="24"/>
        </w:rPr>
        <w:t xml:space="preserve"> by the Council.</w:t>
      </w:r>
    </w:p>
    <w:p w:rsidR="00C26200" w:rsidRDefault="00876696" w:rsidP="009034B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When a challenge is made and rejected</w:t>
      </w:r>
      <w:r w:rsidR="00126B69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no payment is received, the owner of the vehicle will be sent a Notice to Owner (NtO). This is the </w:t>
      </w:r>
      <w:r w:rsidR="00126B69">
        <w:rPr>
          <w:rFonts w:cs="Arial"/>
          <w:sz w:val="24"/>
          <w:szCs w:val="24"/>
        </w:rPr>
        <w:t>driver’s</w:t>
      </w:r>
      <w:r>
        <w:rPr>
          <w:rFonts w:cs="Arial"/>
          <w:sz w:val="24"/>
          <w:szCs w:val="24"/>
        </w:rPr>
        <w:t xml:space="preserve"> opportunity to make ‘Formal </w:t>
      </w:r>
      <w:r w:rsidR="00126B69">
        <w:rPr>
          <w:rFonts w:cs="Arial"/>
          <w:sz w:val="24"/>
          <w:szCs w:val="24"/>
        </w:rPr>
        <w:t>Representation’</w:t>
      </w:r>
      <w:r w:rsidR="00C26200">
        <w:rPr>
          <w:rFonts w:cs="Arial"/>
          <w:sz w:val="24"/>
          <w:szCs w:val="24"/>
        </w:rPr>
        <w:t xml:space="preserve"> where Consideration of these representations is carried out by the Council.</w:t>
      </w:r>
    </w:p>
    <w:p w:rsidR="00876696" w:rsidRPr="00D85E70" w:rsidRDefault="00C26200" w:rsidP="009034B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Should the representations be rejected, the driver has an opportunity to appeal the decision</w:t>
      </w:r>
      <w:r w:rsidR="004F133F">
        <w:rPr>
          <w:rFonts w:cs="Arial"/>
          <w:sz w:val="24"/>
          <w:szCs w:val="24"/>
        </w:rPr>
        <w:t xml:space="preserve"> at the </w:t>
      </w:r>
      <w:r>
        <w:rPr>
          <w:rFonts w:cs="Arial"/>
          <w:sz w:val="24"/>
          <w:szCs w:val="24"/>
        </w:rPr>
        <w:t>Traffic Penalty Tribunal (TPT)</w:t>
      </w:r>
      <w:r w:rsidR="004F133F">
        <w:rPr>
          <w:rFonts w:cs="Arial"/>
          <w:sz w:val="24"/>
          <w:szCs w:val="24"/>
        </w:rPr>
        <w:t>. The case will be heard by an independent adjudicator and the</w:t>
      </w:r>
      <w:r w:rsidR="009E3EB0">
        <w:rPr>
          <w:rFonts w:cs="Arial"/>
          <w:sz w:val="24"/>
          <w:szCs w:val="24"/>
        </w:rPr>
        <w:t xml:space="preserve"> outcome of this hearing is</w:t>
      </w:r>
      <w:r w:rsidR="004F133F">
        <w:rPr>
          <w:rFonts w:cs="Arial"/>
          <w:sz w:val="24"/>
          <w:szCs w:val="24"/>
        </w:rPr>
        <w:t xml:space="preserve"> final</w:t>
      </w:r>
      <w:r w:rsidR="005A1FC4">
        <w:rPr>
          <w:rFonts w:cs="Arial"/>
          <w:sz w:val="24"/>
          <w:szCs w:val="24"/>
        </w:rPr>
        <w:t>, t</w:t>
      </w:r>
      <w:r w:rsidR="009E3EB0">
        <w:rPr>
          <w:rFonts w:cs="Arial"/>
          <w:sz w:val="24"/>
          <w:szCs w:val="24"/>
        </w:rPr>
        <w:t xml:space="preserve">he decision is binding on both the council and the motorist. </w:t>
      </w:r>
    </w:p>
    <w:p w:rsidR="009E3EB0" w:rsidRDefault="009E3EB0" w:rsidP="009034BB">
      <w:pPr>
        <w:rPr>
          <w:rFonts w:cs="Arial"/>
          <w:b/>
          <w:sz w:val="24"/>
          <w:szCs w:val="24"/>
          <w:u w:val="single"/>
        </w:rPr>
      </w:pPr>
    </w:p>
    <w:p w:rsidR="007C604E" w:rsidRPr="002365BB" w:rsidRDefault="00E631F1" w:rsidP="009034BB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Professional Bodies</w:t>
      </w:r>
    </w:p>
    <w:p w:rsidR="009034BB" w:rsidRPr="009E3EB0" w:rsidRDefault="009034BB" w:rsidP="009034BB">
      <w:pPr>
        <w:rPr>
          <w:rFonts w:cs="Arial"/>
          <w:sz w:val="24"/>
          <w:szCs w:val="24"/>
        </w:rPr>
      </w:pPr>
      <w:r w:rsidRPr="009E3EB0">
        <w:rPr>
          <w:rFonts w:cs="Arial"/>
          <w:sz w:val="24"/>
          <w:szCs w:val="24"/>
        </w:rPr>
        <w:t>Carlisle City Council is a member of the British Parking Association</w:t>
      </w:r>
      <w:r w:rsidR="002877A4" w:rsidRPr="009E3EB0">
        <w:rPr>
          <w:rFonts w:cs="Arial"/>
          <w:sz w:val="24"/>
          <w:szCs w:val="24"/>
        </w:rPr>
        <w:t xml:space="preserve"> (BPA)</w:t>
      </w:r>
      <w:r w:rsidR="004342C6">
        <w:rPr>
          <w:rFonts w:cs="Arial"/>
          <w:sz w:val="24"/>
          <w:szCs w:val="24"/>
        </w:rPr>
        <w:t xml:space="preserve"> and PATROL. </w:t>
      </w:r>
      <w:r w:rsidR="00D0132F">
        <w:rPr>
          <w:rFonts w:cs="Arial"/>
          <w:sz w:val="24"/>
          <w:szCs w:val="24"/>
        </w:rPr>
        <w:t>The BPA is</w:t>
      </w:r>
      <w:r w:rsidR="002877A4" w:rsidRPr="009E3EB0">
        <w:rPr>
          <w:rFonts w:cs="Arial"/>
          <w:sz w:val="24"/>
          <w:szCs w:val="24"/>
        </w:rPr>
        <w:t xml:space="preserve"> the UK’s professiona</w:t>
      </w:r>
      <w:r w:rsidR="00D0132F">
        <w:rPr>
          <w:rFonts w:cs="Arial"/>
          <w:sz w:val="24"/>
          <w:szCs w:val="24"/>
        </w:rPr>
        <w:t>l body for the parking industry and PATROL is the joint committee of England and Wales for the civil enforcement of</w:t>
      </w:r>
      <w:r w:rsidR="004342C6">
        <w:rPr>
          <w:rFonts w:cs="Arial"/>
          <w:sz w:val="24"/>
          <w:szCs w:val="24"/>
        </w:rPr>
        <w:t xml:space="preserve"> Parking and Traffic Regulations Outside London (PATROL).</w:t>
      </w:r>
      <w:r w:rsidR="00D0132F">
        <w:rPr>
          <w:rFonts w:cs="Arial"/>
          <w:sz w:val="24"/>
          <w:szCs w:val="24"/>
        </w:rPr>
        <w:t xml:space="preserve"> </w:t>
      </w:r>
    </w:p>
    <w:p w:rsidR="00E631F1" w:rsidRDefault="00E631F1" w:rsidP="009034BB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121EE189" wp14:editId="45BF0090">
            <wp:extent cx="1352550" cy="733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A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36" cy="73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32F">
        <w:rPr>
          <w:rFonts w:cs="Arial"/>
          <w:b/>
          <w:noProof/>
          <w:sz w:val="24"/>
          <w:szCs w:val="24"/>
          <w:lang w:eastAsia="en-GB"/>
        </w:rPr>
        <w:t xml:space="preserve">               </w:t>
      </w:r>
      <w:r w:rsidR="00D0132F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716A9152" wp14:editId="2055E563">
            <wp:extent cx="1162050" cy="742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FC4" w:rsidRDefault="005A1FC4" w:rsidP="002365BB">
      <w:pPr>
        <w:rPr>
          <w:rFonts w:cs="Arial"/>
          <w:b/>
          <w:sz w:val="24"/>
          <w:szCs w:val="24"/>
          <w:u w:val="single"/>
        </w:rPr>
      </w:pPr>
    </w:p>
    <w:p w:rsidR="009E3EB0" w:rsidRPr="00694695" w:rsidRDefault="009E3EB0" w:rsidP="002365BB">
      <w:pPr>
        <w:rPr>
          <w:rFonts w:cs="Arial"/>
          <w:b/>
          <w:sz w:val="24"/>
          <w:szCs w:val="24"/>
          <w:u w:val="single"/>
        </w:rPr>
      </w:pPr>
      <w:r w:rsidRPr="00694695">
        <w:rPr>
          <w:rFonts w:cs="Arial"/>
          <w:b/>
          <w:sz w:val="24"/>
          <w:szCs w:val="24"/>
          <w:u w:val="single"/>
        </w:rPr>
        <w:t>Off Street Parking 2015/2016 Statistics</w:t>
      </w:r>
    </w:p>
    <w:p w:rsidR="00694695" w:rsidRDefault="00694695" w:rsidP="002365BB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1106"/>
      </w:tblGrid>
      <w:tr w:rsidR="0021557A" w:rsidTr="009E3EB0">
        <w:trPr>
          <w:trHeight w:val="287"/>
        </w:trPr>
        <w:tc>
          <w:tcPr>
            <w:tcW w:w="4663" w:type="dxa"/>
          </w:tcPr>
          <w:p w:rsidR="0021557A" w:rsidRDefault="0021557A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Total PCNs Issued</w:t>
            </w:r>
          </w:p>
        </w:tc>
        <w:tc>
          <w:tcPr>
            <w:tcW w:w="1106" w:type="dxa"/>
          </w:tcPr>
          <w:p w:rsidR="0021557A" w:rsidRDefault="0021557A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3001</w:t>
            </w:r>
          </w:p>
        </w:tc>
      </w:tr>
      <w:tr w:rsidR="0021557A" w:rsidTr="009E3EB0">
        <w:trPr>
          <w:trHeight w:val="273"/>
        </w:trPr>
        <w:tc>
          <w:tcPr>
            <w:tcW w:w="4663" w:type="dxa"/>
          </w:tcPr>
          <w:p w:rsidR="0021557A" w:rsidRDefault="0021557A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Higher Level PCNs Issued</w:t>
            </w:r>
          </w:p>
        </w:tc>
        <w:tc>
          <w:tcPr>
            <w:tcW w:w="1106" w:type="dxa"/>
          </w:tcPr>
          <w:p w:rsidR="0021557A" w:rsidRDefault="0021557A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409</w:t>
            </w:r>
          </w:p>
        </w:tc>
      </w:tr>
      <w:tr w:rsidR="0021557A" w:rsidTr="009E3EB0">
        <w:trPr>
          <w:trHeight w:val="273"/>
        </w:trPr>
        <w:tc>
          <w:tcPr>
            <w:tcW w:w="4663" w:type="dxa"/>
          </w:tcPr>
          <w:p w:rsidR="0021557A" w:rsidRDefault="0021557A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Lower Level PCNs Issued</w:t>
            </w:r>
          </w:p>
        </w:tc>
        <w:tc>
          <w:tcPr>
            <w:tcW w:w="1106" w:type="dxa"/>
          </w:tcPr>
          <w:p w:rsidR="0021557A" w:rsidRDefault="0021557A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2,592</w:t>
            </w:r>
          </w:p>
        </w:tc>
      </w:tr>
      <w:tr w:rsidR="0021557A" w:rsidTr="009E3EB0">
        <w:trPr>
          <w:trHeight w:val="273"/>
        </w:trPr>
        <w:tc>
          <w:tcPr>
            <w:tcW w:w="4663" w:type="dxa"/>
          </w:tcPr>
          <w:p w:rsidR="0021557A" w:rsidRDefault="0021557A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Paid at Discount</w:t>
            </w:r>
          </w:p>
        </w:tc>
        <w:tc>
          <w:tcPr>
            <w:tcW w:w="1106" w:type="dxa"/>
          </w:tcPr>
          <w:p w:rsidR="0021557A" w:rsidRDefault="0021557A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2,042</w:t>
            </w:r>
          </w:p>
        </w:tc>
      </w:tr>
      <w:tr w:rsidR="0021557A" w:rsidTr="009E3EB0">
        <w:trPr>
          <w:trHeight w:val="273"/>
        </w:trPr>
        <w:tc>
          <w:tcPr>
            <w:tcW w:w="4663" w:type="dxa"/>
          </w:tcPr>
          <w:p w:rsidR="0021557A" w:rsidRDefault="0021557A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Paid at Full (or above)</w:t>
            </w:r>
          </w:p>
        </w:tc>
        <w:tc>
          <w:tcPr>
            <w:tcW w:w="1106" w:type="dxa"/>
          </w:tcPr>
          <w:p w:rsidR="0021557A" w:rsidRDefault="009C4B2B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266</w:t>
            </w:r>
          </w:p>
        </w:tc>
      </w:tr>
      <w:tr w:rsidR="0021557A" w:rsidTr="009E3EB0">
        <w:trPr>
          <w:trHeight w:val="287"/>
        </w:trPr>
        <w:tc>
          <w:tcPr>
            <w:tcW w:w="4663" w:type="dxa"/>
          </w:tcPr>
          <w:p w:rsidR="0021557A" w:rsidRDefault="009C4B2B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 of PCNs Paid</w:t>
            </w:r>
          </w:p>
        </w:tc>
        <w:tc>
          <w:tcPr>
            <w:tcW w:w="1106" w:type="dxa"/>
          </w:tcPr>
          <w:p w:rsidR="0021557A" w:rsidRDefault="009C4B2B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2,308</w:t>
            </w:r>
          </w:p>
        </w:tc>
      </w:tr>
      <w:tr w:rsidR="0021557A" w:rsidTr="009E3EB0">
        <w:trPr>
          <w:trHeight w:val="545"/>
        </w:trPr>
        <w:tc>
          <w:tcPr>
            <w:tcW w:w="4663" w:type="dxa"/>
          </w:tcPr>
          <w:p w:rsidR="0021557A" w:rsidRDefault="009C4B2B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PCNs against which an informal or formal representation was made</w:t>
            </w:r>
          </w:p>
        </w:tc>
        <w:tc>
          <w:tcPr>
            <w:tcW w:w="1106" w:type="dxa"/>
          </w:tcPr>
          <w:p w:rsidR="0021557A" w:rsidRDefault="009C4B2B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983</w:t>
            </w:r>
          </w:p>
        </w:tc>
      </w:tr>
      <w:tr w:rsidR="0021557A" w:rsidTr="009E3EB0">
        <w:trPr>
          <w:trHeight w:val="560"/>
        </w:trPr>
        <w:tc>
          <w:tcPr>
            <w:tcW w:w="4663" w:type="dxa"/>
          </w:tcPr>
          <w:p w:rsidR="0021557A" w:rsidRDefault="009C4B2B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PCNs Cancelled as a result of an informal or formal representation</w:t>
            </w:r>
          </w:p>
        </w:tc>
        <w:tc>
          <w:tcPr>
            <w:tcW w:w="1106" w:type="dxa"/>
          </w:tcPr>
          <w:p w:rsidR="0021557A" w:rsidRDefault="009C4B2B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425</w:t>
            </w:r>
          </w:p>
        </w:tc>
      </w:tr>
      <w:tr w:rsidR="0021557A" w:rsidTr="009E3EB0">
        <w:trPr>
          <w:trHeight w:val="560"/>
        </w:trPr>
        <w:tc>
          <w:tcPr>
            <w:tcW w:w="4663" w:type="dxa"/>
          </w:tcPr>
          <w:p w:rsidR="0021557A" w:rsidRDefault="009C4B2B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PCNs written off or cancelled for other reasons</w:t>
            </w:r>
          </w:p>
        </w:tc>
        <w:tc>
          <w:tcPr>
            <w:tcW w:w="1106" w:type="dxa"/>
          </w:tcPr>
          <w:p w:rsidR="0021557A" w:rsidRDefault="009C4B2B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127</w:t>
            </w:r>
          </w:p>
        </w:tc>
      </w:tr>
      <w:tr w:rsidR="00694695" w:rsidTr="009E3EB0">
        <w:trPr>
          <w:trHeight w:val="560"/>
        </w:trPr>
        <w:tc>
          <w:tcPr>
            <w:tcW w:w="4663" w:type="dxa"/>
          </w:tcPr>
          <w:p w:rsidR="00694695" w:rsidRDefault="00694695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 of appeals at the Traffic Penalty Tribunal</w:t>
            </w:r>
          </w:p>
        </w:tc>
        <w:tc>
          <w:tcPr>
            <w:tcW w:w="1106" w:type="dxa"/>
          </w:tcPr>
          <w:p w:rsidR="00694695" w:rsidRDefault="00694695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694695" w:rsidTr="009E3EB0">
        <w:trPr>
          <w:trHeight w:val="560"/>
        </w:trPr>
        <w:tc>
          <w:tcPr>
            <w:tcW w:w="4663" w:type="dxa"/>
          </w:tcPr>
          <w:p w:rsidR="00694695" w:rsidRDefault="00694695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 of appeals allowed</w:t>
            </w:r>
          </w:p>
        </w:tc>
        <w:tc>
          <w:tcPr>
            <w:tcW w:w="1106" w:type="dxa"/>
          </w:tcPr>
          <w:p w:rsidR="00694695" w:rsidRDefault="00CB1BB9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</w:tr>
      <w:tr w:rsidR="00694695" w:rsidTr="009E3EB0">
        <w:trPr>
          <w:trHeight w:val="560"/>
        </w:trPr>
        <w:tc>
          <w:tcPr>
            <w:tcW w:w="4663" w:type="dxa"/>
          </w:tcPr>
          <w:p w:rsidR="00694695" w:rsidRDefault="00CB1BB9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 of appeals dismissed</w:t>
            </w:r>
          </w:p>
        </w:tc>
        <w:tc>
          <w:tcPr>
            <w:tcW w:w="1106" w:type="dxa"/>
          </w:tcPr>
          <w:p w:rsidR="00694695" w:rsidRDefault="00CB1BB9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694695" w:rsidTr="009E3EB0">
        <w:trPr>
          <w:trHeight w:val="560"/>
        </w:trPr>
        <w:tc>
          <w:tcPr>
            <w:tcW w:w="4663" w:type="dxa"/>
          </w:tcPr>
          <w:p w:rsidR="00694695" w:rsidRDefault="00CB1BB9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 of appeals not contested</w:t>
            </w:r>
          </w:p>
        </w:tc>
        <w:tc>
          <w:tcPr>
            <w:tcW w:w="1106" w:type="dxa"/>
          </w:tcPr>
          <w:p w:rsidR="00694695" w:rsidRDefault="00CB1BB9" w:rsidP="002365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</w:tr>
    </w:tbl>
    <w:p w:rsidR="00DF7352" w:rsidRPr="0017295A" w:rsidRDefault="00DF7352" w:rsidP="0017295A">
      <w:pPr>
        <w:rPr>
          <w:rFonts w:cs="Arial"/>
          <w:b/>
          <w:sz w:val="24"/>
          <w:szCs w:val="24"/>
        </w:rPr>
      </w:pPr>
    </w:p>
    <w:p w:rsidR="00DD4F9A" w:rsidRDefault="00DD4F9A" w:rsidP="0017295A">
      <w:pPr>
        <w:tabs>
          <w:tab w:val="left" w:pos="2655"/>
        </w:tabs>
        <w:rPr>
          <w:rFonts w:cs="Arial"/>
          <w:b/>
          <w:sz w:val="40"/>
          <w:szCs w:val="40"/>
          <w:u w:val="single"/>
        </w:rPr>
      </w:pPr>
    </w:p>
    <w:p w:rsidR="00DD4F9A" w:rsidRPr="00CA6864" w:rsidRDefault="00DD4F9A" w:rsidP="003B1B9C">
      <w:pPr>
        <w:tabs>
          <w:tab w:val="left" w:pos="2655"/>
        </w:tabs>
        <w:jc w:val="both"/>
        <w:rPr>
          <w:rFonts w:cs="Arial"/>
          <w:b/>
          <w:sz w:val="40"/>
          <w:szCs w:val="40"/>
          <w:u w:val="single"/>
        </w:rPr>
      </w:pPr>
    </w:p>
    <w:p w:rsidR="00E644B7" w:rsidRDefault="00E644B7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244257" w:rsidRDefault="00244257" w:rsidP="00244257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</w:p>
    <w:p w:rsidR="00244257" w:rsidRDefault="00244257" w:rsidP="00244257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</w:p>
    <w:p w:rsidR="00244257" w:rsidRDefault="00244257" w:rsidP="00244257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</w:p>
    <w:p w:rsidR="00244257" w:rsidRDefault="00244257" w:rsidP="00244257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</w:p>
    <w:p w:rsidR="000A5FF1" w:rsidRDefault="000A5FF1" w:rsidP="00F925BD">
      <w:pPr>
        <w:tabs>
          <w:tab w:val="left" w:pos="2655"/>
        </w:tabs>
        <w:rPr>
          <w:rFonts w:cs="Arial"/>
          <w:b/>
          <w:sz w:val="40"/>
          <w:szCs w:val="40"/>
          <w:u w:val="single"/>
        </w:rPr>
      </w:pPr>
    </w:p>
    <w:p w:rsidR="004E5715" w:rsidRDefault="004E57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5A1FC4" w:rsidRDefault="005A1FC4" w:rsidP="00C50361">
      <w:pPr>
        <w:tabs>
          <w:tab w:val="left" w:pos="3300"/>
        </w:tabs>
        <w:rPr>
          <w:rFonts w:cs="Arial"/>
          <w:sz w:val="24"/>
          <w:szCs w:val="24"/>
        </w:rPr>
      </w:pPr>
    </w:p>
    <w:p w:rsidR="001206C9" w:rsidRDefault="005A1FC4" w:rsidP="00C50361">
      <w:pPr>
        <w:tabs>
          <w:tab w:val="left" w:pos="3300"/>
        </w:tabs>
        <w:rPr>
          <w:rFonts w:cs="Arial"/>
          <w:b/>
          <w:sz w:val="24"/>
          <w:szCs w:val="24"/>
          <w:u w:val="single"/>
        </w:rPr>
      </w:pPr>
      <w:r w:rsidRPr="005A1FC4">
        <w:rPr>
          <w:rFonts w:cs="Arial"/>
          <w:b/>
          <w:sz w:val="24"/>
          <w:szCs w:val="24"/>
          <w:u w:val="single"/>
        </w:rPr>
        <w:t>Financial Statistics</w:t>
      </w:r>
    </w:p>
    <w:p w:rsidR="005A1FC4" w:rsidRPr="005A1FC4" w:rsidRDefault="005A1FC4" w:rsidP="00C50361">
      <w:pPr>
        <w:tabs>
          <w:tab w:val="left" w:pos="3300"/>
        </w:tabs>
        <w:rPr>
          <w:rFonts w:cs="Arial"/>
          <w:b/>
          <w:sz w:val="24"/>
          <w:szCs w:val="24"/>
          <w:u w:val="single"/>
        </w:rPr>
      </w:pPr>
    </w:p>
    <w:p w:rsidR="00ED09A1" w:rsidRDefault="00CB1BB9" w:rsidP="00C50361">
      <w:pPr>
        <w:tabs>
          <w:tab w:val="left" w:pos="3300"/>
        </w:tabs>
        <w:rPr>
          <w:rFonts w:cs="Arial"/>
          <w:sz w:val="24"/>
          <w:szCs w:val="24"/>
        </w:rPr>
      </w:pPr>
      <w:r w:rsidRPr="00CB1BB9">
        <w:rPr>
          <w:noProof/>
          <w:lang w:eastAsia="en-GB"/>
        </w:rPr>
        <w:drawing>
          <wp:inline distT="0" distB="0" distL="0" distR="0" wp14:anchorId="6C41EB67" wp14:editId="37F0CB40">
            <wp:extent cx="5400675" cy="482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B9" w:rsidRDefault="00CB1BB9" w:rsidP="00C50361">
      <w:pPr>
        <w:tabs>
          <w:tab w:val="left" w:pos="3300"/>
        </w:tabs>
        <w:rPr>
          <w:rFonts w:cs="Arial"/>
          <w:sz w:val="24"/>
          <w:szCs w:val="24"/>
        </w:rPr>
      </w:pPr>
    </w:p>
    <w:p w:rsidR="00ED09A1" w:rsidRDefault="00ED09A1" w:rsidP="00C50361">
      <w:pPr>
        <w:tabs>
          <w:tab w:val="left" w:pos="33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surplus funds raised through the provision of Off-Street parking facilities are used to offset the costs to Carlisle City Council of providing services to the public.</w:t>
      </w:r>
      <w:r w:rsidR="00CB1BB9">
        <w:rPr>
          <w:rFonts w:cs="Arial"/>
          <w:sz w:val="24"/>
          <w:szCs w:val="24"/>
        </w:rPr>
        <w:t xml:space="preserve"> </w:t>
      </w:r>
    </w:p>
    <w:p w:rsidR="00187644" w:rsidRDefault="00187644" w:rsidP="00C50361">
      <w:pPr>
        <w:tabs>
          <w:tab w:val="left" w:pos="3300"/>
        </w:tabs>
        <w:rPr>
          <w:rFonts w:cs="Arial"/>
          <w:sz w:val="24"/>
          <w:szCs w:val="24"/>
        </w:rPr>
      </w:pPr>
    </w:p>
    <w:p w:rsidR="00187644" w:rsidRDefault="00187644" w:rsidP="00C50361">
      <w:pPr>
        <w:tabs>
          <w:tab w:val="left" w:pos="3300"/>
        </w:tabs>
        <w:rPr>
          <w:rFonts w:cs="Arial"/>
          <w:sz w:val="24"/>
          <w:szCs w:val="24"/>
        </w:rPr>
      </w:pPr>
    </w:p>
    <w:p w:rsidR="00187644" w:rsidRPr="00187644" w:rsidRDefault="00187644" w:rsidP="00187644">
      <w:pPr>
        <w:pStyle w:val="NoSpacing"/>
        <w:rPr>
          <w:b/>
        </w:rPr>
      </w:pPr>
      <w:r w:rsidRPr="00187644">
        <w:rPr>
          <w:b/>
        </w:rPr>
        <w:t>Richard Chandler</w:t>
      </w:r>
    </w:p>
    <w:p w:rsidR="00187644" w:rsidRDefault="00187644" w:rsidP="00187644">
      <w:pPr>
        <w:pStyle w:val="NoSpacing"/>
      </w:pPr>
      <w:r>
        <w:t>Car Parks Officer</w:t>
      </w:r>
    </w:p>
    <w:p w:rsidR="00187644" w:rsidRDefault="00187644" w:rsidP="00187644">
      <w:pPr>
        <w:pStyle w:val="NoSpacing"/>
      </w:pPr>
      <w:r>
        <w:t>Carlisle City Council</w:t>
      </w:r>
    </w:p>
    <w:p w:rsidR="00187644" w:rsidRDefault="00790B43" w:rsidP="00187644">
      <w:pPr>
        <w:pStyle w:val="NoSpacing"/>
      </w:pPr>
      <w:hyperlink r:id="rId14" w:history="1">
        <w:r w:rsidR="00187644" w:rsidRPr="0020467E">
          <w:rPr>
            <w:rStyle w:val="Hyperlink"/>
          </w:rPr>
          <w:t>carparking@carlisle.gov.uk</w:t>
        </w:r>
      </w:hyperlink>
    </w:p>
    <w:p w:rsidR="00187644" w:rsidRDefault="00187644" w:rsidP="00187644">
      <w:pPr>
        <w:pStyle w:val="NoSpacing"/>
      </w:pPr>
    </w:p>
    <w:p w:rsidR="00187644" w:rsidRPr="00C50361" w:rsidRDefault="004462BF" w:rsidP="00187644">
      <w:pPr>
        <w:pStyle w:val="NoSpacing"/>
      </w:pPr>
      <w:r>
        <w:t>Published 17.10</w:t>
      </w:r>
      <w:r w:rsidR="00187644">
        <w:t>.16</w:t>
      </w:r>
      <w:bookmarkStart w:id="0" w:name="_GoBack"/>
      <w:bookmarkEnd w:id="0"/>
    </w:p>
    <w:sectPr w:rsidR="00187644" w:rsidRPr="00C50361" w:rsidSect="001B38AE">
      <w:headerReference w:type="default" r:id="rId15"/>
      <w:footerReference w:type="default" r:id="rId16"/>
      <w:pgSz w:w="11906" w:h="16838"/>
      <w:pgMar w:top="907" w:right="1412" w:bottom="1440" w:left="11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48" w:rsidRDefault="00914448" w:rsidP="00FE4DB1">
      <w:pPr>
        <w:spacing w:after="0" w:line="240" w:lineRule="auto"/>
      </w:pPr>
      <w:r>
        <w:separator/>
      </w:r>
    </w:p>
  </w:endnote>
  <w:endnote w:type="continuationSeparator" w:id="0">
    <w:p w:rsidR="00914448" w:rsidRDefault="00914448" w:rsidP="00F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5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B32" w:rsidRDefault="00A17B3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B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7B32" w:rsidRDefault="00A17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48" w:rsidRDefault="00914448" w:rsidP="00FE4DB1">
      <w:pPr>
        <w:spacing w:after="0" w:line="240" w:lineRule="auto"/>
      </w:pPr>
      <w:r>
        <w:separator/>
      </w:r>
    </w:p>
  </w:footnote>
  <w:footnote w:type="continuationSeparator" w:id="0">
    <w:p w:rsidR="00914448" w:rsidRDefault="00914448" w:rsidP="00F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07" w:rsidRPr="00694695" w:rsidRDefault="00A2797B" w:rsidP="00B67107">
    <w:pPr>
      <w:pStyle w:val="Header"/>
      <w:jc w:val="center"/>
      <w:rPr>
        <w:i/>
      </w:rPr>
    </w:pPr>
    <w:r w:rsidRPr="00694695">
      <w:rPr>
        <w:i/>
      </w:rPr>
      <w:t xml:space="preserve">OFF STREET </w:t>
    </w:r>
    <w:r w:rsidR="00B67107" w:rsidRPr="00694695">
      <w:rPr>
        <w:i/>
      </w:rPr>
      <w:t>PARKING</w:t>
    </w:r>
    <w:r w:rsidR="00526DE5">
      <w:rPr>
        <w:i/>
      </w:rPr>
      <w:t xml:space="preserve"> ANNUAL</w:t>
    </w:r>
    <w:r w:rsidR="00B67107" w:rsidRPr="00694695">
      <w:rPr>
        <w:i/>
      </w:rPr>
      <w:t xml:space="preserve"> REPORT 2015/16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533C"/>
    <w:multiLevelType w:val="hybridMultilevel"/>
    <w:tmpl w:val="B2F0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12B6"/>
    <w:multiLevelType w:val="hybridMultilevel"/>
    <w:tmpl w:val="AA843474"/>
    <w:lvl w:ilvl="0" w:tplc="0809000F">
      <w:start w:val="1"/>
      <w:numFmt w:val="decimal"/>
      <w:lvlText w:val="%1."/>
      <w:lvlJc w:val="left"/>
      <w:pPr>
        <w:ind w:left="1656" w:hanging="360"/>
      </w:pPr>
    </w:lvl>
    <w:lvl w:ilvl="1" w:tplc="08090019" w:tentative="1">
      <w:start w:val="1"/>
      <w:numFmt w:val="lowerLetter"/>
      <w:lvlText w:val="%2."/>
      <w:lvlJc w:val="left"/>
      <w:pPr>
        <w:ind w:left="2376" w:hanging="360"/>
      </w:pPr>
    </w:lvl>
    <w:lvl w:ilvl="2" w:tplc="0809001B" w:tentative="1">
      <w:start w:val="1"/>
      <w:numFmt w:val="lowerRoman"/>
      <w:lvlText w:val="%3."/>
      <w:lvlJc w:val="right"/>
      <w:pPr>
        <w:ind w:left="3096" w:hanging="180"/>
      </w:pPr>
    </w:lvl>
    <w:lvl w:ilvl="3" w:tplc="0809000F" w:tentative="1">
      <w:start w:val="1"/>
      <w:numFmt w:val="decimal"/>
      <w:lvlText w:val="%4."/>
      <w:lvlJc w:val="left"/>
      <w:pPr>
        <w:ind w:left="3816" w:hanging="360"/>
      </w:pPr>
    </w:lvl>
    <w:lvl w:ilvl="4" w:tplc="08090019" w:tentative="1">
      <w:start w:val="1"/>
      <w:numFmt w:val="lowerLetter"/>
      <w:lvlText w:val="%5."/>
      <w:lvlJc w:val="left"/>
      <w:pPr>
        <w:ind w:left="4536" w:hanging="360"/>
      </w:pPr>
    </w:lvl>
    <w:lvl w:ilvl="5" w:tplc="0809001B" w:tentative="1">
      <w:start w:val="1"/>
      <w:numFmt w:val="lowerRoman"/>
      <w:lvlText w:val="%6."/>
      <w:lvlJc w:val="right"/>
      <w:pPr>
        <w:ind w:left="5256" w:hanging="180"/>
      </w:pPr>
    </w:lvl>
    <w:lvl w:ilvl="6" w:tplc="0809000F" w:tentative="1">
      <w:start w:val="1"/>
      <w:numFmt w:val="decimal"/>
      <w:lvlText w:val="%7."/>
      <w:lvlJc w:val="left"/>
      <w:pPr>
        <w:ind w:left="5976" w:hanging="360"/>
      </w:pPr>
    </w:lvl>
    <w:lvl w:ilvl="7" w:tplc="08090019" w:tentative="1">
      <w:start w:val="1"/>
      <w:numFmt w:val="lowerLetter"/>
      <w:lvlText w:val="%8."/>
      <w:lvlJc w:val="left"/>
      <w:pPr>
        <w:ind w:left="6696" w:hanging="360"/>
      </w:pPr>
    </w:lvl>
    <w:lvl w:ilvl="8" w:tplc="08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55CF2BDF"/>
    <w:multiLevelType w:val="hybridMultilevel"/>
    <w:tmpl w:val="A04ACA2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C370602"/>
    <w:multiLevelType w:val="hybridMultilevel"/>
    <w:tmpl w:val="33549E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92CB6"/>
    <w:multiLevelType w:val="hybridMultilevel"/>
    <w:tmpl w:val="1E40E16C"/>
    <w:lvl w:ilvl="0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>
    <w:nsid w:val="5CF90B2B"/>
    <w:multiLevelType w:val="hybridMultilevel"/>
    <w:tmpl w:val="5A887E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97385"/>
    <w:multiLevelType w:val="hybridMultilevel"/>
    <w:tmpl w:val="9B021A1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Gv0XmtQgB6ZyXmrFxAMKhDsidY=" w:salt="pnV/X4Yu0lX8ZlbUSFK8R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F1"/>
    <w:rsid w:val="00011BAE"/>
    <w:rsid w:val="0002750F"/>
    <w:rsid w:val="00034476"/>
    <w:rsid w:val="00044FCA"/>
    <w:rsid w:val="00080609"/>
    <w:rsid w:val="00085C38"/>
    <w:rsid w:val="000957CC"/>
    <w:rsid w:val="000A5FF1"/>
    <w:rsid w:val="000D048D"/>
    <w:rsid w:val="00114476"/>
    <w:rsid w:val="001206C9"/>
    <w:rsid w:val="00126B69"/>
    <w:rsid w:val="0017295A"/>
    <w:rsid w:val="00187644"/>
    <w:rsid w:val="00187E0A"/>
    <w:rsid w:val="00190AB0"/>
    <w:rsid w:val="00197F25"/>
    <w:rsid w:val="001B38AE"/>
    <w:rsid w:val="001F1C87"/>
    <w:rsid w:val="00205538"/>
    <w:rsid w:val="0021557A"/>
    <w:rsid w:val="002365BB"/>
    <w:rsid w:val="00244257"/>
    <w:rsid w:val="00244856"/>
    <w:rsid w:val="00253709"/>
    <w:rsid w:val="002565CF"/>
    <w:rsid w:val="00261E39"/>
    <w:rsid w:val="002877A4"/>
    <w:rsid w:val="002A48DA"/>
    <w:rsid w:val="002A4D36"/>
    <w:rsid w:val="002D6198"/>
    <w:rsid w:val="00311441"/>
    <w:rsid w:val="00321667"/>
    <w:rsid w:val="00321EAC"/>
    <w:rsid w:val="0034694F"/>
    <w:rsid w:val="003513D0"/>
    <w:rsid w:val="003A498B"/>
    <w:rsid w:val="003A50F1"/>
    <w:rsid w:val="003B1B9C"/>
    <w:rsid w:val="003C0B58"/>
    <w:rsid w:val="003D5E3D"/>
    <w:rsid w:val="003E01A6"/>
    <w:rsid w:val="003F1AB9"/>
    <w:rsid w:val="004001AE"/>
    <w:rsid w:val="004342C6"/>
    <w:rsid w:val="004462BF"/>
    <w:rsid w:val="00473314"/>
    <w:rsid w:val="004E5715"/>
    <w:rsid w:val="004E75CE"/>
    <w:rsid w:val="004F133F"/>
    <w:rsid w:val="00510427"/>
    <w:rsid w:val="00526DE5"/>
    <w:rsid w:val="00553662"/>
    <w:rsid w:val="00580BB2"/>
    <w:rsid w:val="00592AF4"/>
    <w:rsid w:val="005A1FC4"/>
    <w:rsid w:val="005A224E"/>
    <w:rsid w:val="005C16D5"/>
    <w:rsid w:val="005C5558"/>
    <w:rsid w:val="005D37BE"/>
    <w:rsid w:val="005E0DEF"/>
    <w:rsid w:val="005E4E08"/>
    <w:rsid w:val="00620AD0"/>
    <w:rsid w:val="00640BD1"/>
    <w:rsid w:val="006433CE"/>
    <w:rsid w:val="0065085B"/>
    <w:rsid w:val="00650BAA"/>
    <w:rsid w:val="00663635"/>
    <w:rsid w:val="00694695"/>
    <w:rsid w:val="006C126D"/>
    <w:rsid w:val="006C4E05"/>
    <w:rsid w:val="00703BC9"/>
    <w:rsid w:val="007211AF"/>
    <w:rsid w:val="00727AAE"/>
    <w:rsid w:val="00757857"/>
    <w:rsid w:val="00774522"/>
    <w:rsid w:val="00790B43"/>
    <w:rsid w:val="007A2D80"/>
    <w:rsid w:val="007B0D9D"/>
    <w:rsid w:val="007B34A8"/>
    <w:rsid w:val="007C604E"/>
    <w:rsid w:val="00810073"/>
    <w:rsid w:val="0083432A"/>
    <w:rsid w:val="00857789"/>
    <w:rsid w:val="00860B7A"/>
    <w:rsid w:val="008728C7"/>
    <w:rsid w:val="00876696"/>
    <w:rsid w:val="008A6EAD"/>
    <w:rsid w:val="008E1898"/>
    <w:rsid w:val="0090349F"/>
    <w:rsid w:val="009034BB"/>
    <w:rsid w:val="00914448"/>
    <w:rsid w:val="00944049"/>
    <w:rsid w:val="009A688D"/>
    <w:rsid w:val="009B18F2"/>
    <w:rsid w:val="009C3BAB"/>
    <w:rsid w:val="009C4B2B"/>
    <w:rsid w:val="009E3EB0"/>
    <w:rsid w:val="009E77BD"/>
    <w:rsid w:val="00A17B32"/>
    <w:rsid w:val="00A2137A"/>
    <w:rsid w:val="00A2797B"/>
    <w:rsid w:val="00A71A34"/>
    <w:rsid w:val="00A8224A"/>
    <w:rsid w:val="00AF036B"/>
    <w:rsid w:val="00B05175"/>
    <w:rsid w:val="00B10CFA"/>
    <w:rsid w:val="00B121D4"/>
    <w:rsid w:val="00B4454A"/>
    <w:rsid w:val="00B46CAD"/>
    <w:rsid w:val="00B67107"/>
    <w:rsid w:val="00B93193"/>
    <w:rsid w:val="00BD52B5"/>
    <w:rsid w:val="00C26200"/>
    <w:rsid w:val="00C436E0"/>
    <w:rsid w:val="00C50361"/>
    <w:rsid w:val="00CA6864"/>
    <w:rsid w:val="00CB1BB9"/>
    <w:rsid w:val="00CB5B7A"/>
    <w:rsid w:val="00CC7FAA"/>
    <w:rsid w:val="00CE7321"/>
    <w:rsid w:val="00D0132F"/>
    <w:rsid w:val="00D23FB3"/>
    <w:rsid w:val="00D45157"/>
    <w:rsid w:val="00D85E70"/>
    <w:rsid w:val="00DB450D"/>
    <w:rsid w:val="00DC3480"/>
    <w:rsid w:val="00DD4F9A"/>
    <w:rsid w:val="00DF7352"/>
    <w:rsid w:val="00E4023C"/>
    <w:rsid w:val="00E56609"/>
    <w:rsid w:val="00E631F1"/>
    <w:rsid w:val="00E644B7"/>
    <w:rsid w:val="00E85072"/>
    <w:rsid w:val="00ED09A1"/>
    <w:rsid w:val="00ED79EF"/>
    <w:rsid w:val="00F84B8E"/>
    <w:rsid w:val="00F925BD"/>
    <w:rsid w:val="00F96524"/>
    <w:rsid w:val="00FE4DB1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B1"/>
  </w:style>
  <w:style w:type="paragraph" w:styleId="Footer">
    <w:name w:val="footer"/>
    <w:basedOn w:val="Normal"/>
    <w:link w:val="FooterChar"/>
    <w:uiPriority w:val="99"/>
    <w:unhideWhenUsed/>
    <w:rsid w:val="00FE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B1"/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B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B2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206C9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206C9"/>
    <w:rPr>
      <w:rFonts w:eastAsiaTheme="minorEastAsia"/>
      <w:i/>
      <w:iCs/>
      <w:color w:val="000000" w:themeColor="text1"/>
      <w:lang w:val="en-US" w:eastAsia="ja-JP"/>
    </w:rPr>
  </w:style>
  <w:style w:type="paragraph" w:styleId="NoSpacing">
    <w:name w:val="No Spacing"/>
    <w:uiPriority w:val="1"/>
    <w:qFormat/>
    <w:rsid w:val="007B34A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38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B3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B38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7A2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7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B1"/>
  </w:style>
  <w:style w:type="paragraph" w:styleId="Footer">
    <w:name w:val="footer"/>
    <w:basedOn w:val="Normal"/>
    <w:link w:val="FooterChar"/>
    <w:uiPriority w:val="99"/>
    <w:unhideWhenUsed/>
    <w:rsid w:val="00FE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B1"/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B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B2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206C9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206C9"/>
    <w:rPr>
      <w:rFonts w:eastAsiaTheme="minorEastAsia"/>
      <w:i/>
      <w:iCs/>
      <w:color w:val="000000" w:themeColor="text1"/>
      <w:lang w:val="en-US" w:eastAsia="ja-JP"/>
    </w:rPr>
  </w:style>
  <w:style w:type="paragraph" w:styleId="NoSpacing">
    <w:name w:val="No Spacing"/>
    <w:uiPriority w:val="1"/>
    <w:qFormat/>
    <w:rsid w:val="007B34A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38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B3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B38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7A2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carparking@carlis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/ 2016</PublishDate>
  <Abstract>REFGEREFG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E159E-CFDE-45A9-8927-EA8B39E7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728</Words>
  <Characters>4155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Chandler</dc:creator>
  <cp:keywords/>
  <dc:description/>
  <cp:lastModifiedBy>Richard Chandler</cp:lastModifiedBy>
  <cp:revision>14</cp:revision>
  <cp:lastPrinted>2016-09-19T13:39:00Z</cp:lastPrinted>
  <dcterms:created xsi:type="dcterms:W3CDTF">2016-09-19T13:19:00Z</dcterms:created>
  <dcterms:modified xsi:type="dcterms:W3CDTF">2016-10-17T08:47:00Z</dcterms:modified>
</cp:coreProperties>
</file>