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FB" w:rsidRDefault="00374EFB">
      <w:pPr>
        <w:pStyle w:val="Heading2"/>
        <w:rPr>
          <w:sz w:val="22"/>
        </w:rPr>
      </w:pPr>
    </w:p>
    <w:p w:rsidR="0097048C" w:rsidRDefault="00CC7DBA">
      <w:pPr>
        <w:pStyle w:val="Heading2"/>
        <w:jc w:val="center"/>
        <w:rPr>
          <w:sz w:val="22"/>
        </w:rPr>
      </w:pPr>
      <w:r>
        <w:rPr>
          <w:noProof/>
          <w:sz w:val="22"/>
          <w:lang w:eastAsia="en-GB"/>
        </w:rPr>
        <w:drawing>
          <wp:inline distT="0" distB="0" distL="0" distR="0">
            <wp:extent cx="1495425" cy="1285875"/>
            <wp:effectExtent l="19050" t="0" r="9525" b="0"/>
            <wp:docPr id="2"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pic:cNvPicPr>
                      <a:picLocks noChangeAspect="1" noChangeArrowheads="1"/>
                    </pic:cNvPicPr>
                  </pic:nvPicPr>
                  <pic:blipFill>
                    <a:blip r:embed="rId9" cstate="print"/>
                    <a:srcRect/>
                    <a:stretch>
                      <a:fillRect/>
                    </a:stretch>
                  </pic:blipFill>
                  <pic:spPr bwMode="auto">
                    <a:xfrm>
                      <a:off x="0" y="0"/>
                      <a:ext cx="1495425" cy="1285875"/>
                    </a:xfrm>
                    <a:prstGeom prst="rect">
                      <a:avLst/>
                    </a:prstGeom>
                    <a:noFill/>
                    <a:ln w="9525">
                      <a:noFill/>
                      <a:miter lim="800000"/>
                      <a:headEnd/>
                      <a:tailEnd/>
                    </a:ln>
                  </pic:spPr>
                </pic:pic>
              </a:graphicData>
            </a:graphic>
          </wp:inline>
        </w:drawing>
      </w:r>
    </w:p>
    <w:p w:rsidR="00374EFB" w:rsidRDefault="00374EFB">
      <w:pPr>
        <w:pStyle w:val="Heading2"/>
        <w:rPr>
          <w:sz w:val="22"/>
        </w:rPr>
      </w:pPr>
    </w:p>
    <w:p w:rsidR="00374EFB" w:rsidRDefault="00374EFB"/>
    <w:p w:rsidR="00374EFB" w:rsidRDefault="00374EFB"/>
    <w:p w:rsidR="00374EFB" w:rsidRDefault="00374EFB"/>
    <w:p w:rsidR="0010251A" w:rsidRDefault="0046550A">
      <w:pPr>
        <w:pStyle w:val="Heading2"/>
        <w:jc w:val="center"/>
        <w:rPr>
          <w:sz w:val="22"/>
        </w:rPr>
      </w:pPr>
      <w:r w:rsidRPr="0046550A">
        <w:rPr>
          <w:sz w:val="32"/>
          <w:szCs w:val="32"/>
        </w:rPr>
        <w:t>Risk Management Policy</w:t>
      </w:r>
    </w:p>
    <w:p w:rsidR="00374EFB" w:rsidRDefault="00374EFB"/>
    <w:p w:rsidR="00374EFB" w:rsidRDefault="00374EFB"/>
    <w:tbl>
      <w:tblPr>
        <w:tblW w:w="0" w:type="auto"/>
        <w:tblInd w:w="170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A0" w:firstRow="1" w:lastRow="0" w:firstColumn="1" w:lastColumn="0" w:noHBand="0" w:noVBand="1"/>
      </w:tblPr>
      <w:tblGrid>
        <w:gridCol w:w="2032"/>
        <w:gridCol w:w="3914"/>
      </w:tblGrid>
      <w:tr w:rsidR="0092091B" w:rsidTr="00BF5B92">
        <w:trPr>
          <w:cantSplit/>
          <w:trHeight w:val="474"/>
        </w:trPr>
        <w:tc>
          <w:tcPr>
            <w:tcW w:w="2032" w:type="dxa"/>
            <w:tcBorders>
              <w:top w:val="nil"/>
              <w:left w:val="nil"/>
              <w:bottom w:val="single" w:sz="4" w:space="0" w:color="808080"/>
              <w:right w:val="nil"/>
            </w:tcBorders>
            <w:hideMark/>
          </w:tcPr>
          <w:p w:rsidR="0092091B" w:rsidRPr="00BF5B92" w:rsidRDefault="0046550A">
            <w:pPr>
              <w:keepNext/>
              <w:spacing w:after="200" w:line="276" w:lineRule="auto"/>
              <w:jc w:val="center"/>
              <w:outlineLvl w:val="2"/>
              <w:rPr>
                <w:rFonts w:cs="Arial"/>
                <w:b/>
                <w:noProof/>
                <w:color w:val="808080"/>
                <w:sz w:val="20"/>
                <w:u w:val="single"/>
              </w:rPr>
            </w:pPr>
            <w:r w:rsidRPr="0046550A">
              <w:rPr>
                <w:rFonts w:cs="Arial"/>
                <w:b/>
                <w:color w:val="808080"/>
                <w:sz w:val="20"/>
                <w:u w:val="single"/>
              </w:rPr>
              <w:t>METADATA</w:t>
            </w:r>
          </w:p>
        </w:tc>
        <w:tc>
          <w:tcPr>
            <w:tcW w:w="3914" w:type="dxa"/>
            <w:tcBorders>
              <w:top w:val="nil"/>
              <w:left w:val="nil"/>
              <w:bottom w:val="single" w:sz="4" w:space="0" w:color="808080"/>
              <w:right w:val="nil"/>
            </w:tcBorders>
          </w:tcPr>
          <w:p w:rsidR="0092091B" w:rsidRPr="00BF5B92" w:rsidRDefault="0092091B">
            <w:pPr>
              <w:spacing w:after="200" w:line="276" w:lineRule="auto"/>
              <w:jc w:val="center"/>
              <w:rPr>
                <w:rFonts w:cs="Arial"/>
                <w:noProof/>
                <w:color w:val="808080"/>
                <w:sz w:val="20"/>
              </w:rPr>
            </w:pPr>
          </w:p>
        </w:tc>
      </w:tr>
      <w:tr w:rsidR="0092091B" w:rsidTr="00BF5B92">
        <w:trPr>
          <w:cantSplit/>
          <w:trHeight w:val="474"/>
        </w:trPr>
        <w:tc>
          <w:tcPr>
            <w:tcW w:w="2032" w:type="dxa"/>
            <w:tcBorders>
              <w:top w:val="nil"/>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Audience</w:t>
            </w:r>
          </w:p>
        </w:tc>
        <w:tc>
          <w:tcPr>
            <w:tcW w:w="3914" w:type="dxa"/>
            <w:tcBorders>
              <w:top w:val="nil"/>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 xml:space="preserve">Carlisle City Council </w:t>
            </w:r>
          </w:p>
        </w:tc>
      </w:tr>
      <w:tr w:rsidR="0092091B" w:rsidTr="00BF5B92">
        <w:trPr>
          <w:cantSplit/>
          <w:trHeight w:val="459"/>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Creator</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Policy and Comms</w:t>
            </w:r>
          </w:p>
        </w:tc>
      </w:tr>
      <w:tr w:rsidR="0092091B" w:rsidTr="00BF5B92">
        <w:trPr>
          <w:cantSplit/>
          <w:trHeight w:val="459"/>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Date Issued</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March 2015</w:t>
            </w:r>
          </w:p>
        </w:tc>
      </w:tr>
      <w:tr w:rsidR="0092091B" w:rsidTr="00BF5B92">
        <w:trPr>
          <w:cantSplit/>
          <w:trHeight w:val="474"/>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Description</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rsidP="0092091B">
            <w:pPr>
              <w:spacing w:after="200" w:line="276" w:lineRule="auto"/>
              <w:jc w:val="center"/>
              <w:rPr>
                <w:rFonts w:cs="Arial"/>
                <w:noProof/>
                <w:color w:val="808080"/>
                <w:sz w:val="20"/>
              </w:rPr>
            </w:pPr>
            <w:r w:rsidRPr="0046550A">
              <w:rPr>
                <w:rFonts w:cs="Arial"/>
                <w:color w:val="808080"/>
                <w:sz w:val="20"/>
              </w:rPr>
              <w:t>Carlisle City Council Risk Management Policy and Strategy</w:t>
            </w:r>
          </w:p>
        </w:tc>
      </w:tr>
      <w:tr w:rsidR="0092091B" w:rsidTr="00BF5B92">
        <w:trPr>
          <w:cantSplit/>
          <w:trHeight w:val="474"/>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before="25" w:after="200" w:line="276" w:lineRule="auto"/>
              <w:jc w:val="center"/>
              <w:rPr>
                <w:rFonts w:cs="Arial"/>
                <w:noProof/>
                <w:color w:val="808080"/>
                <w:sz w:val="20"/>
              </w:rPr>
            </w:pPr>
            <w:r w:rsidRPr="0046550A">
              <w:rPr>
                <w:rFonts w:cs="Arial"/>
                <w:color w:val="808080"/>
                <w:sz w:val="20"/>
              </w:rPr>
              <w:t>Format</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before="25" w:after="200" w:line="276" w:lineRule="auto"/>
              <w:jc w:val="center"/>
              <w:rPr>
                <w:rFonts w:cs="Arial"/>
                <w:noProof/>
                <w:color w:val="808080"/>
                <w:sz w:val="20"/>
              </w:rPr>
            </w:pPr>
            <w:r w:rsidRPr="0046550A">
              <w:rPr>
                <w:rFonts w:cs="Arial"/>
                <w:color w:val="808080"/>
                <w:sz w:val="20"/>
              </w:rPr>
              <w:t>MS Word 2007</w:t>
            </w:r>
          </w:p>
        </w:tc>
      </w:tr>
      <w:tr w:rsidR="0092091B" w:rsidTr="00BF5B92">
        <w:trPr>
          <w:cantSplit/>
          <w:trHeight w:val="459"/>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Language</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English</w:t>
            </w:r>
          </w:p>
        </w:tc>
      </w:tr>
      <w:tr w:rsidR="0092091B" w:rsidTr="00BF5B92">
        <w:trPr>
          <w:cantSplit/>
          <w:trHeight w:val="765"/>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Publisher</w:t>
            </w:r>
          </w:p>
        </w:tc>
        <w:tc>
          <w:tcPr>
            <w:tcW w:w="3914" w:type="dxa"/>
            <w:tcBorders>
              <w:top w:val="single" w:sz="2" w:space="0" w:color="808080"/>
              <w:left w:val="single" w:sz="2" w:space="0" w:color="808080"/>
              <w:bottom w:val="single" w:sz="2" w:space="0" w:color="808080"/>
              <w:right w:val="single" w:sz="2" w:space="0" w:color="808080"/>
            </w:tcBorders>
            <w:hideMark/>
          </w:tcPr>
          <w:p w:rsidR="00374EFB" w:rsidRDefault="0046550A">
            <w:pPr>
              <w:jc w:val="center"/>
              <w:rPr>
                <w:rFonts w:eastAsiaTheme="minorHAnsi" w:cs="Arial"/>
                <w:noProof/>
                <w:color w:val="808080"/>
                <w:sz w:val="20"/>
              </w:rPr>
            </w:pPr>
            <w:r w:rsidRPr="0046550A">
              <w:rPr>
                <w:rFonts w:cs="Arial"/>
                <w:color w:val="808080"/>
                <w:sz w:val="20"/>
              </w:rPr>
              <w:t>Carlisle City Council</w:t>
            </w:r>
          </w:p>
          <w:p w:rsidR="0092091B" w:rsidRPr="00BF5B92" w:rsidRDefault="0096470B">
            <w:pPr>
              <w:spacing w:after="200" w:line="276" w:lineRule="auto"/>
              <w:jc w:val="center"/>
              <w:rPr>
                <w:rFonts w:cs="Arial"/>
                <w:noProof/>
                <w:color w:val="808080"/>
                <w:sz w:val="20"/>
              </w:rPr>
            </w:pPr>
            <w:hyperlink r:id="rId10" w:history="1">
              <w:r w:rsidR="0046550A" w:rsidRPr="0046550A">
                <w:rPr>
                  <w:rStyle w:val="Hyperlink"/>
                  <w:rFonts w:cs="Arial"/>
                  <w:color w:val="808080"/>
                  <w:sz w:val="20"/>
                </w:rPr>
                <w:t>www.carlisle.gov.uk</w:t>
              </w:r>
            </w:hyperlink>
          </w:p>
        </w:tc>
      </w:tr>
      <w:tr w:rsidR="0092091B" w:rsidTr="00BF5B92">
        <w:trPr>
          <w:cantSplit/>
          <w:trHeight w:val="459"/>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Status</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before="25" w:after="200" w:line="276" w:lineRule="auto"/>
              <w:jc w:val="center"/>
              <w:rPr>
                <w:rFonts w:cs="Arial"/>
                <w:noProof/>
                <w:color w:val="808080"/>
                <w:sz w:val="20"/>
              </w:rPr>
            </w:pPr>
            <w:bookmarkStart w:id="0" w:name="_GoBack"/>
            <w:bookmarkEnd w:id="0"/>
            <w:r w:rsidRPr="0046550A">
              <w:rPr>
                <w:rFonts w:cs="Arial"/>
                <w:color w:val="808080"/>
                <w:sz w:val="20"/>
              </w:rPr>
              <w:t xml:space="preserve">Version </w:t>
            </w:r>
            <w:r w:rsidR="00BF5B92">
              <w:rPr>
                <w:rFonts w:cs="Arial"/>
                <w:color w:val="808080"/>
                <w:sz w:val="20"/>
              </w:rPr>
              <w:t>4</w:t>
            </w:r>
            <w:r w:rsidRPr="0046550A">
              <w:rPr>
                <w:rFonts w:cs="Arial"/>
                <w:color w:val="808080"/>
                <w:sz w:val="20"/>
              </w:rPr>
              <w:t>.0</w:t>
            </w:r>
          </w:p>
        </w:tc>
      </w:tr>
      <w:tr w:rsidR="0092091B" w:rsidTr="00BF5B92">
        <w:trPr>
          <w:cantSplit/>
          <w:trHeight w:val="459"/>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Subject. Category</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Guidance Document</w:t>
            </w:r>
          </w:p>
        </w:tc>
      </w:tr>
      <w:tr w:rsidR="0092091B" w:rsidTr="00BF5B92">
        <w:trPr>
          <w:cantSplit/>
          <w:trHeight w:val="474"/>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Title</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Risk Management Policy</w:t>
            </w:r>
          </w:p>
        </w:tc>
      </w:tr>
      <w:tr w:rsidR="0092091B" w:rsidTr="00BF5B92">
        <w:trPr>
          <w:cantSplit/>
          <w:trHeight w:val="474"/>
        </w:trPr>
        <w:tc>
          <w:tcPr>
            <w:tcW w:w="2032"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Contact Officer</w:t>
            </w:r>
          </w:p>
        </w:tc>
        <w:tc>
          <w:tcPr>
            <w:tcW w:w="3914" w:type="dxa"/>
            <w:tcBorders>
              <w:top w:val="single" w:sz="2" w:space="0" w:color="808080"/>
              <w:left w:val="single" w:sz="2" w:space="0" w:color="808080"/>
              <w:bottom w:val="single" w:sz="2" w:space="0" w:color="808080"/>
              <w:right w:val="single" w:sz="2" w:space="0" w:color="808080"/>
            </w:tcBorders>
            <w:hideMark/>
          </w:tcPr>
          <w:p w:rsidR="0092091B" w:rsidRPr="00BF5B92" w:rsidRDefault="0046550A">
            <w:pPr>
              <w:spacing w:after="200" w:line="276" w:lineRule="auto"/>
              <w:jc w:val="center"/>
              <w:rPr>
                <w:rFonts w:cs="Arial"/>
                <w:noProof/>
                <w:color w:val="808080"/>
                <w:sz w:val="20"/>
              </w:rPr>
            </w:pPr>
            <w:r w:rsidRPr="0046550A">
              <w:rPr>
                <w:rFonts w:cs="Arial"/>
                <w:color w:val="808080"/>
                <w:sz w:val="20"/>
              </w:rPr>
              <w:t>Sarah Mason x7053</w:t>
            </w:r>
          </w:p>
        </w:tc>
      </w:tr>
    </w:tbl>
    <w:p w:rsidR="00374EFB" w:rsidRDefault="00374EFB"/>
    <w:p w:rsidR="00374EFB" w:rsidRDefault="00374EFB"/>
    <w:p w:rsidR="00374EFB" w:rsidRDefault="00374EFB"/>
    <w:p w:rsidR="00374EFB" w:rsidRDefault="00374EFB"/>
    <w:p w:rsidR="00374EFB" w:rsidRDefault="00374EFB"/>
    <w:p w:rsidR="00374EFB" w:rsidRDefault="00374EFB"/>
    <w:p w:rsidR="00374EFB" w:rsidRDefault="00374EFB"/>
    <w:p w:rsidR="00374EFB" w:rsidRDefault="00374EFB"/>
    <w:p w:rsidR="00374EFB" w:rsidRDefault="00374EFB"/>
    <w:p w:rsidR="00374EFB" w:rsidRDefault="00374EFB"/>
    <w:p w:rsidR="0010251A" w:rsidRDefault="0010251A" w:rsidP="0010251A">
      <w:pPr>
        <w:pStyle w:val="Heading2"/>
        <w:numPr>
          <w:ilvl w:val="0"/>
          <w:numId w:val="5"/>
        </w:numPr>
        <w:rPr>
          <w:sz w:val="22"/>
        </w:rPr>
      </w:pPr>
      <w:r>
        <w:rPr>
          <w:sz w:val="22"/>
        </w:rPr>
        <w:t>INTRODUCTION</w:t>
      </w:r>
    </w:p>
    <w:p w:rsidR="0010251A" w:rsidRDefault="0010251A">
      <w:pPr>
        <w:rPr>
          <w:sz w:val="22"/>
        </w:rPr>
      </w:pPr>
    </w:p>
    <w:p w:rsidR="0010251A" w:rsidRDefault="0010251A">
      <w:pPr>
        <w:rPr>
          <w:sz w:val="22"/>
        </w:rPr>
      </w:pPr>
      <w:r>
        <w:rPr>
          <w:sz w:val="22"/>
        </w:rPr>
        <w:t>The purpose of the policy is:</w:t>
      </w:r>
    </w:p>
    <w:p w:rsidR="0010251A" w:rsidRDefault="0010251A">
      <w:pPr>
        <w:rPr>
          <w:sz w:val="22"/>
        </w:rPr>
      </w:pPr>
    </w:p>
    <w:p w:rsidR="0010251A" w:rsidRDefault="0010251A" w:rsidP="0010251A">
      <w:pPr>
        <w:numPr>
          <w:ilvl w:val="0"/>
          <w:numId w:val="8"/>
        </w:numPr>
        <w:rPr>
          <w:sz w:val="22"/>
        </w:rPr>
      </w:pPr>
      <w:r>
        <w:rPr>
          <w:sz w:val="22"/>
        </w:rPr>
        <w:t>to define Risk and Risk Management</w:t>
      </w:r>
    </w:p>
    <w:p w:rsidR="0010251A" w:rsidRDefault="0010251A" w:rsidP="0010251A">
      <w:pPr>
        <w:numPr>
          <w:ilvl w:val="0"/>
          <w:numId w:val="8"/>
        </w:numPr>
        <w:rPr>
          <w:sz w:val="22"/>
        </w:rPr>
      </w:pPr>
      <w:r>
        <w:rPr>
          <w:sz w:val="22"/>
        </w:rPr>
        <w:t>to define roles and responsibilities within the authority for Risk Management</w:t>
      </w:r>
    </w:p>
    <w:p w:rsidR="0010251A" w:rsidRDefault="0010251A" w:rsidP="0010251A">
      <w:pPr>
        <w:numPr>
          <w:ilvl w:val="0"/>
          <w:numId w:val="8"/>
        </w:numPr>
        <w:rPr>
          <w:sz w:val="22"/>
        </w:rPr>
      </w:pPr>
      <w:r>
        <w:rPr>
          <w:sz w:val="22"/>
        </w:rPr>
        <w:t>to describe how the authority will analyse risk</w:t>
      </w:r>
    </w:p>
    <w:p w:rsidR="0010251A" w:rsidRDefault="0010251A" w:rsidP="0010251A">
      <w:pPr>
        <w:numPr>
          <w:ilvl w:val="0"/>
          <w:numId w:val="8"/>
        </w:numPr>
        <w:rPr>
          <w:sz w:val="22"/>
        </w:rPr>
      </w:pPr>
      <w:r>
        <w:rPr>
          <w:sz w:val="22"/>
        </w:rPr>
        <w:t>to articulate the authority’s tolerance to risk</w:t>
      </w:r>
    </w:p>
    <w:p w:rsidR="00EA46D1" w:rsidRPr="00A14E88" w:rsidRDefault="009769F5" w:rsidP="00EA46D1">
      <w:pPr>
        <w:numPr>
          <w:ilvl w:val="0"/>
          <w:numId w:val="8"/>
        </w:numPr>
        <w:rPr>
          <w:sz w:val="22"/>
          <w:szCs w:val="24"/>
        </w:rPr>
      </w:pPr>
      <w:r w:rsidRPr="009769F5">
        <w:rPr>
          <w:sz w:val="22"/>
          <w:szCs w:val="24"/>
        </w:rPr>
        <w:t>to put in place ‘good practice’ to manage risk</w:t>
      </w:r>
    </w:p>
    <w:p w:rsidR="0010251A" w:rsidRDefault="0010251A">
      <w:pPr>
        <w:rPr>
          <w:sz w:val="22"/>
        </w:rPr>
      </w:pPr>
    </w:p>
    <w:p w:rsidR="0010251A" w:rsidRDefault="0010251A">
      <w:pPr>
        <w:rPr>
          <w:sz w:val="22"/>
        </w:rPr>
      </w:pPr>
      <w:r>
        <w:rPr>
          <w:sz w:val="22"/>
        </w:rPr>
        <w:t>This policy enables stakeholders to scrutinise the authority’s approach to risk and provides officers with unambiguous guidance on how to analyse risk and what levels of risk are acceptable.</w:t>
      </w:r>
    </w:p>
    <w:p w:rsidR="0010251A" w:rsidRDefault="0010251A">
      <w:pPr>
        <w:rPr>
          <w:sz w:val="22"/>
        </w:rPr>
      </w:pPr>
    </w:p>
    <w:p w:rsidR="0010251A" w:rsidRDefault="00D31374">
      <w:pPr>
        <w:rPr>
          <w:snapToGrid w:val="0"/>
          <w:sz w:val="22"/>
        </w:rPr>
      </w:pPr>
      <w:r>
        <w:rPr>
          <w:snapToGrid w:val="0"/>
          <w:sz w:val="22"/>
        </w:rPr>
        <w:t>The Policy has been refreshed in line with ISO 31000:2009 Risk Management Principles and Guidelines.</w:t>
      </w:r>
    </w:p>
    <w:p w:rsidR="00D31374" w:rsidRDefault="00D31374">
      <w:pPr>
        <w:rPr>
          <w:snapToGrid w:val="0"/>
          <w:sz w:val="22"/>
        </w:rPr>
      </w:pPr>
    </w:p>
    <w:p w:rsidR="00EA46D1" w:rsidRDefault="00EA46D1" w:rsidP="00EA46D1">
      <w:pPr>
        <w:pStyle w:val="ListParagraph"/>
        <w:numPr>
          <w:ilvl w:val="0"/>
          <w:numId w:val="5"/>
        </w:numPr>
        <w:rPr>
          <w:snapToGrid w:val="0"/>
          <w:sz w:val="22"/>
        </w:rPr>
      </w:pPr>
      <w:r>
        <w:rPr>
          <w:snapToGrid w:val="0"/>
          <w:sz w:val="22"/>
        </w:rPr>
        <w:t>DEFINITION OF RISK AND RISK MANAGEMENT</w:t>
      </w:r>
    </w:p>
    <w:p w:rsidR="00EA46D1" w:rsidRPr="00EA46D1" w:rsidRDefault="00EA46D1" w:rsidP="00EA46D1">
      <w:pPr>
        <w:pStyle w:val="ListParagraph"/>
        <w:rPr>
          <w:snapToGrid w:val="0"/>
          <w:sz w:val="22"/>
        </w:rPr>
      </w:pPr>
    </w:p>
    <w:p w:rsidR="00D31374" w:rsidRDefault="00D31374">
      <w:pPr>
        <w:rPr>
          <w:sz w:val="22"/>
        </w:rPr>
      </w:pPr>
      <w:r>
        <w:rPr>
          <w:snapToGrid w:val="0"/>
          <w:sz w:val="22"/>
        </w:rPr>
        <w:t>ISO 31000 defines risk as the “effect of uncertainty on objectives” where uncertainty can be either positive or negative.  Risk management describes all of the activities required to understand and manage the risks, thereby increasing the likelihood of achieving the Council’s objectives.</w:t>
      </w:r>
    </w:p>
    <w:p w:rsidR="0010251A" w:rsidRDefault="0010251A">
      <w:pPr>
        <w:rPr>
          <w:sz w:val="22"/>
        </w:rPr>
      </w:pPr>
    </w:p>
    <w:p w:rsidR="0010251A" w:rsidRDefault="0010251A">
      <w:pPr>
        <w:rPr>
          <w:sz w:val="22"/>
        </w:rPr>
      </w:pPr>
      <w:r>
        <w:rPr>
          <w:sz w:val="22"/>
        </w:rPr>
        <w:t>Carlisle City Council recognises Risk Management to be an essential part of the organisation’s corporate governance arrangements.  Risk Management not only ensures that the authority minimises exposure to avoidable risk but also ensures that it maximises opportunities by taking risks in a controlled manner.</w:t>
      </w:r>
    </w:p>
    <w:p w:rsidR="0010251A" w:rsidRDefault="0010251A">
      <w:pPr>
        <w:rPr>
          <w:sz w:val="22"/>
        </w:rPr>
      </w:pPr>
    </w:p>
    <w:p w:rsidR="0010251A" w:rsidRDefault="0010251A">
      <w:pPr>
        <w:rPr>
          <w:sz w:val="22"/>
        </w:rPr>
      </w:pPr>
      <w:r>
        <w:rPr>
          <w:sz w:val="22"/>
        </w:rPr>
        <w:t xml:space="preserve">If </w:t>
      </w:r>
      <w:r w:rsidR="009A2A52">
        <w:rPr>
          <w:sz w:val="22"/>
        </w:rPr>
        <w:t xml:space="preserve">the </w:t>
      </w:r>
      <w:r w:rsidR="00EA46D1">
        <w:rPr>
          <w:sz w:val="22"/>
        </w:rPr>
        <w:t>Council does</w:t>
      </w:r>
      <w:r>
        <w:rPr>
          <w:sz w:val="22"/>
        </w:rPr>
        <w:t xml:space="preserve"> not take risks then nothing will change.  Thus a managed approach to risk is critical for effective change management.</w:t>
      </w:r>
    </w:p>
    <w:p w:rsidR="0010251A" w:rsidRDefault="0010251A">
      <w:pPr>
        <w:rPr>
          <w:sz w:val="22"/>
        </w:rPr>
      </w:pPr>
    </w:p>
    <w:p w:rsidR="0010251A" w:rsidRDefault="0010251A">
      <w:pPr>
        <w:rPr>
          <w:sz w:val="22"/>
        </w:rPr>
      </w:pPr>
      <w:r>
        <w:rPr>
          <w:sz w:val="22"/>
        </w:rPr>
        <w:t xml:space="preserve">Risk management is part of strong public leadership and a high standard of governance, making a public statement of how the Council manages risk demonstrates openness, integrity and accountability. </w:t>
      </w:r>
    </w:p>
    <w:p w:rsidR="0010251A" w:rsidRDefault="0010251A">
      <w:pPr>
        <w:rPr>
          <w:sz w:val="22"/>
        </w:rPr>
      </w:pPr>
    </w:p>
    <w:p w:rsidR="0010251A" w:rsidRDefault="0010251A" w:rsidP="0010251A">
      <w:pPr>
        <w:numPr>
          <w:ilvl w:val="0"/>
          <w:numId w:val="5"/>
        </w:numPr>
        <w:rPr>
          <w:b/>
          <w:sz w:val="22"/>
        </w:rPr>
      </w:pPr>
      <w:r>
        <w:rPr>
          <w:b/>
          <w:sz w:val="22"/>
        </w:rPr>
        <w:t>COMMENTS ON THIS POLICY</w:t>
      </w:r>
    </w:p>
    <w:p w:rsidR="0010251A" w:rsidRDefault="0010251A">
      <w:pPr>
        <w:rPr>
          <w:sz w:val="22"/>
        </w:rPr>
      </w:pPr>
    </w:p>
    <w:p w:rsidR="0010251A" w:rsidRDefault="0010251A">
      <w:pPr>
        <w:rPr>
          <w:sz w:val="22"/>
        </w:rPr>
      </w:pPr>
      <w:r>
        <w:rPr>
          <w:sz w:val="22"/>
        </w:rPr>
        <w:t>If you would like to comment on or complain about this policy, please contact:</w:t>
      </w:r>
    </w:p>
    <w:p w:rsidR="0010251A" w:rsidRDefault="00EA46D1">
      <w:pPr>
        <w:rPr>
          <w:sz w:val="22"/>
        </w:rPr>
      </w:pPr>
      <w:proofErr w:type="gramStart"/>
      <w:r>
        <w:rPr>
          <w:sz w:val="22"/>
        </w:rPr>
        <w:t>Corporate Project and Risk Management Officer</w:t>
      </w:r>
      <w:r w:rsidR="0010251A">
        <w:rPr>
          <w:sz w:val="22"/>
        </w:rPr>
        <w:t>, Carlisle City Council, Civic Centre, Carlisle CA3 8QG.</w:t>
      </w:r>
      <w:proofErr w:type="gramEnd"/>
    </w:p>
    <w:p w:rsidR="0010251A" w:rsidRDefault="0010251A">
      <w:pPr>
        <w:rPr>
          <w:sz w:val="22"/>
        </w:rPr>
      </w:pPr>
    </w:p>
    <w:p w:rsidR="006F4E49" w:rsidRDefault="006F4E49">
      <w:pPr>
        <w:rPr>
          <w:sz w:val="22"/>
        </w:rPr>
      </w:pPr>
    </w:p>
    <w:p w:rsidR="006F4E49" w:rsidRDefault="006F4E49">
      <w:pPr>
        <w:rPr>
          <w:sz w:val="22"/>
        </w:rPr>
      </w:pPr>
    </w:p>
    <w:p w:rsidR="006F4E49" w:rsidRDefault="006F4E49">
      <w:pPr>
        <w:rPr>
          <w:sz w:val="22"/>
        </w:rPr>
      </w:pPr>
    </w:p>
    <w:p w:rsidR="006F4E49" w:rsidRDefault="006F4E49">
      <w:pPr>
        <w:rPr>
          <w:sz w:val="22"/>
        </w:rPr>
      </w:pPr>
    </w:p>
    <w:p w:rsidR="0010251A" w:rsidRDefault="0010251A" w:rsidP="0010251A">
      <w:pPr>
        <w:numPr>
          <w:ilvl w:val="0"/>
          <w:numId w:val="5"/>
        </w:numPr>
        <w:rPr>
          <w:b/>
          <w:sz w:val="22"/>
        </w:rPr>
      </w:pPr>
      <w:r>
        <w:rPr>
          <w:b/>
          <w:sz w:val="22"/>
        </w:rPr>
        <w:lastRenderedPageBreak/>
        <w:t>POLICY DETAILS</w:t>
      </w:r>
    </w:p>
    <w:p w:rsidR="0010251A" w:rsidRDefault="0010251A">
      <w:pPr>
        <w:rPr>
          <w:b/>
          <w:sz w:val="22"/>
        </w:rPr>
      </w:pPr>
    </w:p>
    <w:p w:rsidR="0010251A" w:rsidRDefault="0010251A">
      <w:pPr>
        <w:rPr>
          <w:b/>
          <w:sz w:val="22"/>
        </w:rPr>
      </w:pPr>
      <w:r>
        <w:rPr>
          <w:b/>
          <w:sz w:val="22"/>
        </w:rPr>
        <w:t>3.1</w:t>
      </w:r>
      <w:r>
        <w:rPr>
          <w:b/>
          <w:sz w:val="22"/>
        </w:rPr>
        <w:tab/>
        <w:t>Responsibilities</w:t>
      </w:r>
    </w:p>
    <w:p w:rsidR="0010251A" w:rsidRDefault="0010251A">
      <w:pPr>
        <w:rPr>
          <w:b/>
          <w:sz w:val="22"/>
        </w:rPr>
      </w:pPr>
    </w:p>
    <w:p w:rsidR="0010251A" w:rsidRDefault="0010251A">
      <w:pPr>
        <w:pStyle w:val="BodyText2"/>
        <w:ind w:left="720" w:hanging="720"/>
        <w:jc w:val="left"/>
      </w:pPr>
      <w:r>
        <w:t>3.1.1</w:t>
      </w:r>
      <w:r>
        <w:tab/>
        <w:t>The Chief Executive has overall responsibility for risk management arrangements in the Council.</w:t>
      </w:r>
    </w:p>
    <w:p w:rsidR="0010251A" w:rsidRDefault="0010251A">
      <w:pPr>
        <w:pStyle w:val="BodyText2"/>
        <w:ind w:left="720" w:hanging="720"/>
        <w:jc w:val="left"/>
      </w:pPr>
    </w:p>
    <w:p w:rsidR="0010251A" w:rsidRDefault="0010251A">
      <w:pPr>
        <w:pStyle w:val="BodyText2"/>
        <w:ind w:left="720" w:hanging="720"/>
        <w:jc w:val="left"/>
      </w:pPr>
      <w:r>
        <w:t>3.1.2</w:t>
      </w:r>
      <w:r>
        <w:tab/>
        <w:t>A member of the Executive will be designated the Risk Champion. This member will sit on the Corporate Risk Management Group and will ensure that the Executive acts in accordance with the Risk Management Policy.</w:t>
      </w:r>
    </w:p>
    <w:p w:rsidR="0010251A" w:rsidRDefault="0010251A">
      <w:pPr>
        <w:pStyle w:val="BodyText2"/>
        <w:ind w:left="720" w:hanging="720"/>
        <w:jc w:val="left"/>
      </w:pPr>
    </w:p>
    <w:p w:rsidR="0010251A" w:rsidRDefault="0010251A">
      <w:pPr>
        <w:pStyle w:val="BodyText2"/>
        <w:ind w:left="720" w:hanging="720"/>
        <w:jc w:val="left"/>
      </w:pPr>
      <w:r>
        <w:t>3.1.3</w:t>
      </w:r>
      <w:r>
        <w:tab/>
      </w:r>
      <w:r w:rsidR="00E83A04">
        <w:t>The Senior Management Team</w:t>
      </w:r>
      <w:r>
        <w:t xml:space="preserve"> is responsible for the design, implementation and review of risk management arrangements.  </w:t>
      </w:r>
      <w:r w:rsidR="00741874">
        <w:t xml:space="preserve">The Corporate </w:t>
      </w:r>
      <w:r>
        <w:t>Risk Management Group</w:t>
      </w:r>
      <w:r w:rsidR="00430679">
        <w:t xml:space="preserve"> (CRMG)</w:t>
      </w:r>
      <w:r>
        <w:t xml:space="preserve"> (chaired by</w:t>
      </w:r>
      <w:r w:rsidR="00741874">
        <w:t xml:space="preserve"> the Deputy Chief </w:t>
      </w:r>
      <w:r w:rsidR="00E83A04">
        <w:t>Executive)</w:t>
      </w:r>
      <w:r>
        <w:t xml:space="preserve"> carries out this work and reports to </w:t>
      </w:r>
      <w:r w:rsidR="001365D8">
        <w:t>Senior</w:t>
      </w:r>
      <w:r>
        <w:t xml:space="preserve"> Management </w:t>
      </w:r>
      <w:r w:rsidR="001365D8">
        <w:t>Team</w:t>
      </w:r>
      <w:r>
        <w:t>.</w:t>
      </w:r>
    </w:p>
    <w:p w:rsidR="0010251A" w:rsidRDefault="0010251A">
      <w:pPr>
        <w:pStyle w:val="BodyText2"/>
        <w:ind w:left="720" w:hanging="720"/>
        <w:jc w:val="left"/>
      </w:pPr>
    </w:p>
    <w:p w:rsidR="0097048C" w:rsidRDefault="0077078B" w:rsidP="0010251A">
      <w:pPr>
        <w:pStyle w:val="BodyText2"/>
        <w:numPr>
          <w:ilvl w:val="2"/>
          <w:numId w:val="11"/>
        </w:numPr>
        <w:jc w:val="left"/>
        <w:rPr>
          <w:snapToGrid w:val="0"/>
          <w:color w:val="000000"/>
          <w:lang w:val="en-US"/>
        </w:rPr>
      </w:pPr>
      <w:r>
        <w:rPr>
          <w:snapToGrid w:val="0"/>
          <w:color w:val="000000"/>
          <w:lang w:val="en-US"/>
        </w:rPr>
        <w:t xml:space="preserve">The </w:t>
      </w:r>
      <w:r w:rsidR="00003191">
        <w:rPr>
          <w:snapToGrid w:val="0"/>
          <w:color w:val="000000"/>
          <w:lang w:val="en-US"/>
        </w:rPr>
        <w:t>Resources Directorate</w:t>
      </w:r>
      <w:r w:rsidR="0010251A">
        <w:rPr>
          <w:snapToGrid w:val="0"/>
          <w:color w:val="000000"/>
          <w:lang w:val="en-US"/>
        </w:rPr>
        <w:t xml:space="preserve"> has specific responsibility for </w:t>
      </w:r>
    </w:p>
    <w:p w:rsidR="00374EFB" w:rsidRDefault="0010251A">
      <w:pPr>
        <w:pStyle w:val="BodyText2"/>
        <w:numPr>
          <w:ilvl w:val="0"/>
          <w:numId w:val="19"/>
        </w:numPr>
        <w:jc w:val="left"/>
        <w:rPr>
          <w:snapToGrid w:val="0"/>
          <w:color w:val="000000"/>
          <w:lang w:val="en-US"/>
        </w:rPr>
      </w:pPr>
      <w:r>
        <w:rPr>
          <w:snapToGrid w:val="0"/>
          <w:color w:val="000000"/>
          <w:lang w:val="en-US"/>
        </w:rPr>
        <w:t xml:space="preserve">providing </w:t>
      </w:r>
      <w:r w:rsidR="00430679">
        <w:rPr>
          <w:snapToGrid w:val="0"/>
          <w:color w:val="000000"/>
          <w:lang w:val="en-US"/>
        </w:rPr>
        <w:t>CRMG</w:t>
      </w:r>
      <w:r>
        <w:rPr>
          <w:snapToGrid w:val="0"/>
          <w:color w:val="000000"/>
          <w:lang w:val="en-US"/>
        </w:rPr>
        <w:t xml:space="preserve"> with insurance claims experience </w:t>
      </w:r>
    </w:p>
    <w:p w:rsidR="00374EFB" w:rsidRDefault="0010251A">
      <w:pPr>
        <w:pStyle w:val="BodyText2"/>
        <w:numPr>
          <w:ilvl w:val="0"/>
          <w:numId w:val="19"/>
        </w:numPr>
        <w:jc w:val="left"/>
        <w:rPr>
          <w:snapToGrid w:val="0"/>
          <w:color w:val="000000"/>
          <w:lang w:val="en-US"/>
        </w:rPr>
      </w:pPr>
      <w:r>
        <w:rPr>
          <w:snapToGrid w:val="0"/>
          <w:color w:val="000000"/>
          <w:lang w:val="en-US"/>
        </w:rPr>
        <w:t>ensur</w:t>
      </w:r>
      <w:r w:rsidR="0097048C">
        <w:rPr>
          <w:snapToGrid w:val="0"/>
          <w:color w:val="000000"/>
          <w:lang w:val="en-US"/>
        </w:rPr>
        <w:t>ing</w:t>
      </w:r>
      <w:r>
        <w:rPr>
          <w:snapToGrid w:val="0"/>
          <w:color w:val="000000"/>
          <w:lang w:val="en-US"/>
        </w:rPr>
        <w:t xml:space="preserve"> that the annual Audit Plan adequately addresses risk issues</w:t>
      </w:r>
      <w:r w:rsidR="0097048C">
        <w:rPr>
          <w:snapToGrid w:val="0"/>
          <w:color w:val="000000"/>
          <w:lang w:val="en-US"/>
        </w:rPr>
        <w:t>, and</w:t>
      </w:r>
    </w:p>
    <w:p w:rsidR="00374EFB" w:rsidRDefault="0097048C">
      <w:pPr>
        <w:pStyle w:val="BodyText2"/>
        <w:numPr>
          <w:ilvl w:val="0"/>
          <w:numId w:val="19"/>
        </w:numPr>
        <w:jc w:val="left"/>
        <w:rPr>
          <w:snapToGrid w:val="0"/>
          <w:color w:val="000000"/>
          <w:lang w:val="en-US"/>
        </w:rPr>
      </w:pPr>
      <w:proofErr w:type="gramStart"/>
      <w:r>
        <w:rPr>
          <w:snapToGrid w:val="0"/>
          <w:color w:val="000000"/>
          <w:lang w:val="en-US"/>
        </w:rPr>
        <w:t>providing</w:t>
      </w:r>
      <w:proofErr w:type="gramEnd"/>
      <w:r>
        <w:rPr>
          <w:snapToGrid w:val="0"/>
          <w:color w:val="000000"/>
          <w:lang w:val="en-US"/>
        </w:rPr>
        <w:t xml:space="preserve"> </w:t>
      </w:r>
      <w:r w:rsidR="00430679">
        <w:rPr>
          <w:snapToGrid w:val="0"/>
          <w:color w:val="000000"/>
          <w:lang w:val="en-US"/>
        </w:rPr>
        <w:t>CRMG</w:t>
      </w:r>
      <w:r>
        <w:rPr>
          <w:snapToGrid w:val="0"/>
          <w:color w:val="000000"/>
          <w:lang w:val="en-US"/>
        </w:rPr>
        <w:t xml:space="preserve"> with relevant information regarding grievance and disciplinary matters.</w:t>
      </w:r>
    </w:p>
    <w:p w:rsidR="0010251A" w:rsidRDefault="0010251A">
      <w:pPr>
        <w:pStyle w:val="BodyText2"/>
        <w:jc w:val="left"/>
        <w:rPr>
          <w:snapToGrid w:val="0"/>
          <w:color w:val="000000"/>
          <w:lang w:val="en-US"/>
        </w:rPr>
      </w:pPr>
    </w:p>
    <w:p w:rsidR="0010251A" w:rsidRDefault="0010251A" w:rsidP="0010251A">
      <w:pPr>
        <w:pStyle w:val="BodyText2"/>
        <w:numPr>
          <w:ilvl w:val="2"/>
          <w:numId w:val="11"/>
        </w:numPr>
        <w:jc w:val="left"/>
        <w:rPr>
          <w:color w:val="000000"/>
        </w:rPr>
      </w:pPr>
      <w:r>
        <w:t xml:space="preserve">Members of </w:t>
      </w:r>
      <w:r w:rsidR="00741874">
        <w:t xml:space="preserve">the Senior </w:t>
      </w:r>
      <w:r>
        <w:t>Management Team have responsibility for ensuring the overall management of risks to their respective work programmes.</w:t>
      </w:r>
    </w:p>
    <w:p w:rsidR="0010251A" w:rsidRDefault="0010251A">
      <w:pPr>
        <w:pStyle w:val="BodyText2"/>
        <w:ind w:left="720" w:hanging="720"/>
        <w:jc w:val="left"/>
      </w:pPr>
    </w:p>
    <w:p w:rsidR="0010251A" w:rsidRDefault="00EB40BB">
      <w:pPr>
        <w:pStyle w:val="BodyText2"/>
        <w:ind w:left="720" w:hanging="720"/>
        <w:jc w:val="left"/>
      </w:pPr>
      <w:r>
        <w:t>3.1.6</w:t>
      </w:r>
      <w:r>
        <w:tab/>
      </w:r>
      <w:r w:rsidR="0010251A">
        <w:t>All managers have responsibility for managing the risks in their area of control, unless they cannot be managed for one or more of the following reasons:</w:t>
      </w:r>
    </w:p>
    <w:p w:rsidR="0010251A" w:rsidRDefault="0010251A" w:rsidP="0010251A">
      <w:pPr>
        <w:pStyle w:val="BodyText2"/>
        <w:numPr>
          <w:ilvl w:val="0"/>
          <w:numId w:val="6"/>
        </w:numPr>
        <w:jc w:val="left"/>
      </w:pPr>
      <w:r>
        <w:t>the identified risk relates to more than one manager’s area of responsibility</w:t>
      </w:r>
    </w:p>
    <w:p w:rsidR="0010251A" w:rsidRDefault="0010251A" w:rsidP="0010251A">
      <w:pPr>
        <w:pStyle w:val="BodyText2"/>
        <w:numPr>
          <w:ilvl w:val="0"/>
          <w:numId w:val="6"/>
        </w:numPr>
        <w:jc w:val="left"/>
      </w:pPr>
      <w:r>
        <w:t>actions to manage the identified risk require additional resources</w:t>
      </w:r>
    </w:p>
    <w:p w:rsidR="0010251A" w:rsidRDefault="0010251A" w:rsidP="0010251A">
      <w:pPr>
        <w:pStyle w:val="BodyText2"/>
        <w:numPr>
          <w:ilvl w:val="0"/>
          <w:numId w:val="6"/>
        </w:numPr>
        <w:jc w:val="left"/>
      </w:pPr>
      <w:r>
        <w:t>actions to manage the identified risk require approval elsewhere (</w:t>
      </w:r>
      <w:r>
        <w:rPr>
          <w:i/>
        </w:rPr>
        <w:t>e.g.</w:t>
      </w:r>
      <w:r w:rsidR="0077078B">
        <w:t xml:space="preserve"> by M</w:t>
      </w:r>
      <w:r>
        <w:t>embers or a corporate group)</w:t>
      </w:r>
    </w:p>
    <w:p w:rsidR="0010251A" w:rsidRDefault="0010251A">
      <w:pPr>
        <w:pStyle w:val="BodyText2"/>
        <w:ind w:left="720"/>
        <w:jc w:val="left"/>
      </w:pPr>
      <w:r>
        <w:t xml:space="preserve">In these cases, the manager is responsible for reporting their findings to the </w:t>
      </w:r>
      <w:r w:rsidR="00741874">
        <w:t xml:space="preserve">Corporate </w:t>
      </w:r>
      <w:r>
        <w:t>Risk Management Group via the</w:t>
      </w:r>
      <w:r w:rsidR="00741874">
        <w:t>ir</w:t>
      </w:r>
      <w:r>
        <w:t xml:space="preserve"> Director.</w:t>
      </w:r>
    </w:p>
    <w:p w:rsidR="0010251A" w:rsidRDefault="0010251A">
      <w:pPr>
        <w:pStyle w:val="BodyText2"/>
        <w:jc w:val="left"/>
      </w:pPr>
    </w:p>
    <w:p w:rsidR="0010251A" w:rsidRDefault="0077078B" w:rsidP="0010251A">
      <w:pPr>
        <w:pStyle w:val="BodyText2"/>
        <w:numPr>
          <w:ilvl w:val="2"/>
          <w:numId w:val="12"/>
        </w:numPr>
        <w:jc w:val="left"/>
      </w:pPr>
      <w:r>
        <w:t xml:space="preserve">The </w:t>
      </w:r>
      <w:r w:rsidR="00D84BEA">
        <w:t>Governance Directorate</w:t>
      </w:r>
      <w:r w:rsidR="0010251A">
        <w:t xml:space="preserve"> has specific responsibility for providing </w:t>
      </w:r>
      <w:r w:rsidR="00430679">
        <w:t>CRMG</w:t>
      </w:r>
      <w:r w:rsidR="0010251A">
        <w:t xml:space="preserve"> with relevant information on legal, Human Rights, and litigation matters.</w:t>
      </w:r>
      <w:r w:rsidR="00003191">
        <w:t xml:space="preserve">  A </w:t>
      </w:r>
      <w:r w:rsidR="00723E5C">
        <w:t>Health and Safety function</w:t>
      </w:r>
      <w:r w:rsidR="00003191">
        <w:t xml:space="preserve"> provide</w:t>
      </w:r>
      <w:r w:rsidR="00723E5C">
        <w:t>s</w:t>
      </w:r>
      <w:r w:rsidR="00003191">
        <w:t xml:space="preserve"> advice to managers.</w:t>
      </w:r>
    </w:p>
    <w:p w:rsidR="0010251A" w:rsidRDefault="0010251A">
      <w:pPr>
        <w:pStyle w:val="BodyText2"/>
        <w:jc w:val="left"/>
      </w:pPr>
    </w:p>
    <w:p w:rsidR="00C73021" w:rsidRDefault="0097048C">
      <w:pPr>
        <w:pStyle w:val="BodyText2"/>
        <w:ind w:left="720"/>
        <w:jc w:val="left"/>
      </w:pPr>
      <w:r>
        <w:t xml:space="preserve">The Corporate Project and Risk Management Officer </w:t>
      </w:r>
      <w:proofErr w:type="gramStart"/>
      <w:r>
        <w:t>co-ordinates</w:t>
      </w:r>
      <w:proofErr w:type="gramEnd"/>
      <w:r>
        <w:t xml:space="preserve"> and monitors</w:t>
      </w:r>
      <w:r w:rsidR="00430679">
        <w:t xml:space="preserve"> the Council’s risk management arrangements, promoting best practice and acting as system administrator for the Council’s risk management software.</w:t>
      </w:r>
      <w:r>
        <w:t xml:space="preserve"> </w:t>
      </w:r>
    </w:p>
    <w:p w:rsidR="00A14E88" w:rsidRDefault="00A14E88">
      <w:pPr>
        <w:pStyle w:val="BodyText2"/>
        <w:jc w:val="left"/>
      </w:pPr>
    </w:p>
    <w:p w:rsidR="0010251A" w:rsidRDefault="00430679" w:rsidP="0010251A">
      <w:pPr>
        <w:pStyle w:val="BodyText2"/>
        <w:numPr>
          <w:ilvl w:val="2"/>
          <w:numId w:val="12"/>
        </w:numPr>
        <w:jc w:val="left"/>
      </w:pPr>
      <w:r>
        <w:t>CRMG</w:t>
      </w:r>
      <w:r w:rsidR="0010251A">
        <w:t xml:space="preserve"> is responsible for delivering and reviewing the Risk Management Strategy, maintaining and improving risk management processes and the corporate risk register, and for reporting to </w:t>
      </w:r>
      <w:r w:rsidR="00003191">
        <w:t>the Senior Management Team</w:t>
      </w:r>
      <w:r w:rsidR="0010251A">
        <w:t xml:space="preserve"> as appropriate.</w:t>
      </w:r>
    </w:p>
    <w:p w:rsidR="0010251A" w:rsidRDefault="0010251A">
      <w:pPr>
        <w:pStyle w:val="BodyText2"/>
        <w:jc w:val="left"/>
      </w:pPr>
    </w:p>
    <w:p w:rsidR="0010251A" w:rsidRDefault="0010251A">
      <w:pPr>
        <w:rPr>
          <w:b/>
          <w:sz w:val="22"/>
        </w:rPr>
      </w:pPr>
      <w:r>
        <w:rPr>
          <w:b/>
          <w:sz w:val="22"/>
        </w:rPr>
        <w:t>3.2</w:t>
      </w:r>
      <w:r>
        <w:rPr>
          <w:b/>
          <w:sz w:val="22"/>
        </w:rPr>
        <w:tab/>
        <w:t>Standards</w:t>
      </w:r>
    </w:p>
    <w:p w:rsidR="0010251A" w:rsidRDefault="0010251A">
      <w:pPr>
        <w:pStyle w:val="BodyText2"/>
        <w:jc w:val="left"/>
      </w:pPr>
    </w:p>
    <w:p w:rsidR="0010251A" w:rsidRDefault="0010251A">
      <w:pPr>
        <w:pStyle w:val="BodyText2"/>
        <w:jc w:val="left"/>
      </w:pPr>
      <w:r>
        <w:t>3.2.1</w:t>
      </w:r>
      <w:r>
        <w:tab/>
        <w:t xml:space="preserve">All decisions affecting the achievement of Council’s objectives must consider risk. </w:t>
      </w:r>
    </w:p>
    <w:p w:rsidR="0010251A" w:rsidRDefault="0010251A">
      <w:pPr>
        <w:pStyle w:val="BodyText2"/>
        <w:jc w:val="left"/>
      </w:pPr>
    </w:p>
    <w:p w:rsidR="0010251A" w:rsidRDefault="0010251A">
      <w:pPr>
        <w:pStyle w:val="BodyText2"/>
        <w:ind w:left="709" w:hanging="709"/>
        <w:jc w:val="left"/>
      </w:pPr>
      <w:r>
        <w:t>3.2.2</w:t>
      </w:r>
      <w:r>
        <w:tab/>
        <w:t xml:space="preserve">The Council and each </w:t>
      </w:r>
      <w:r w:rsidR="00741874">
        <w:t xml:space="preserve">service area </w:t>
      </w:r>
      <w:r>
        <w:t xml:space="preserve">must at least </w:t>
      </w:r>
      <w:r w:rsidR="00EA46D1">
        <w:t xml:space="preserve">quarterly </w:t>
      </w:r>
      <w:r>
        <w:t>consider the risks to achieving objectives.</w:t>
      </w:r>
    </w:p>
    <w:p w:rsidR="0010251A" w:rsidRDefault="0010251A">
      <w:pPr>
        <w:pStyle w:val="BodyText2"/>
        <w:jc w:val="left"/>
      </w:pPr>
    </w:p>
    <w:p w:rsidR="0010251A" w:rsidRDefault="0010251A" w:rsidP="0010251A">
      <w:pPr>
        <w:pStyle w:val="BodyText2"/>
        <w:numPr>
          <w:ilvl w:val="2"/>
          <w:numId w:val="10"/>
        </w:numPr>
        <w:jc w:val="left"/>
      </w:pPr>
      <w:r>
        <w:t>In considering risks, the following will be assessed:</w:t>
      </w:r>
    </w:p>
    <w:p w:rsidR="0010251A" w:rsidRDefault="0010251A" w:rsidP="0010251A">
      <w:pPr>
        <w:pStyle w:val="BodyText2"/>
        <w:numPr>
          <w:ilvl w:val="0"/>
          <w:numId w:val="7"/>
        </w:numPr>
        <w:jc w:val="left"/>
      </w:pPr>
      <w:r>
        <w:t>What are the risks</w:t>
      </w:r>
      <w:r w:rsidR="00721E55">
        <w:t>, both threats and opportunities</w:t>
      </w:r>
      <w:r>
        <w:t xml:space="preserve"> to achieving our objectives?</w:t>
      </w:r>
    </w:p>
    <w:p w:rsidR="0010251A" w:rsidRDefault="0010251A" w:rsidP="0010251A">
      <w:pPr>
        <w:pStyle w:val="BodyText2"/>
        <w:numPr>
          <w:ilvl w:val="0"/>
          <w:numId w:val="7"/>
        </w:numPr>
        <w:jc w:val="left"/>
      </w:pPr>
      <w:r>
        <w:lastRenderedPageBreak/>
        <w:t>Do we understand the risk, what is the underlying cause?</w:t>
      </w:r>
    </w:p>
    <w:p w:rsidR="0010251A" w:rsidRDefault="0010251A" w:rsidP="0010251A">
      <w:pPr>
        <w:pStyle w:val="BodyText2"/>
        <w:numPr>
          <w:ilvl w:val="0"/>
          <w:numId w:val="7"/>
        </w:numPr>
        <w:jc w:val="left"/>
      </w:pPr>
      <w:r>
        <w:t>What is the potential impact of the risk, including financial?</w:t>
      </w:r>
    </w:p>
    <w:p w:rsidR="0010251A" w:rsidRDefault="0010251A" w:rsidP="0010251A">
      <w:pPr>
        <w:pStyle w:val="BodyText2"/>
        <w:numPr>
          <w:ilvl w:val="0"/>
          <w:numId w:val="7"/>
        </w:numPr>
        <w:jc w:val="left"/>
      </w:pPr>
      <w:r>
        <w:t>What is the likelihood of this happening?</w:t>
      </w:r>
    </w:p>
    <w:p w:rsidR="0010251A" w:rsidRDefault="0010251A" w:rsidP="0010251A">
      <w:pPr>
        <w:pStyle w:val="BodyText2"/>
        <w:numPr>
          <w:ilvl w:val="0"/>
          <w:numId w:val="7"/>
        </w:numPr>
        <w:jc w:val="left"/>
      </w:pPr>
      <w:r>
        <w:t>Is this risk associated with an opportunity for improvement – if so what is its impact and likelihood?</w:t>
      </w:r>
    </w:p>
    <w:p w:rsidR="0010251A" w:rsidRDefault="0010251A" w:rsidP="0010251A">
      <w:pPr>
        <w:pStyle w:val="BodyText2"/>
        <w:numPr>
          <w:ilvl w:val="0"/>
          <w:numId w:val="7"/>
        </w:numPr>
        <w:jc w:val="left"/>
      </w:pPr>
      <w:r>
        <w:t>Can this risk be controlled?</w:t>
      </w:r>
    </w:p>
    <w:p w:rsidR="0010251A" w:rsidRDefault="0010251A" w:rsidP="0010251A">
      <w:pPr>
        <w:pStyle w:val="BodyText2"/>
        <w:numPr>
          <w:ilvl w:val="0"/>
          <w:numId w:val="7"/>
        </w:numPr>
        <w:jc w:val="left"/>
      </w:pPr>
      <w:r>
        <w:t>How might this risk be controlled?</w:t>
      </w:r>
    </w:p>
    <w:p w:rsidR="0010251A" w:rsidRDefault="0010251A" w:rsidP="0010251A">
      <w:pPr>
        <w:pStyle w:val="BodyText2"/>
        <w:numPr>
          <w:ilvl w:val="0"/>
          <w:numId w:val="7"/>
        </w:numPr>
        <w:jc w:val="left"/>
      </w:pPr>
      <w:r>
        <w:t>Is the control strategy feasible and cost effective?</w:t>
      </w:r>
    </w:p>
    <w:p w:rsidR="0010251A" w:rsidRDefault="0010251A" w:rsidP="0010251A">
      <w:pPr>
        <w:pStyle w:val="BodyText2"/>
        <w:numPr>
          <w:ilvl w:val="0"/>
          <w:numId w:val="7"/>
        </w:numPr>
        <w:jc w:val="left"/>
      </w:pPr>
      <w:r>
        <w:t xml:space="preserve">Should this matter be reported to </w:t>
      </w:r>
      <w:r w:rsidR="00430679">
        <w:t>CRMG</w:t>
      </w:r>
      <w:r>
        <w:t>?</w:t>
      </w:r>
    </w:p>
    <w:p w:rsidR="0010251A" w:rsidRDefault="0010251A">
      <w:pPr>
        <w:pStyle w:val="BodyText2"/>
        <w:jc w:val="left"/>
      </w:pPr>
    </w:p>
    <w:p w:rsidR="0010251A" w:rsidRDefault="0010251A">
      <w:pPr>
        <w:pStyle w:val="BodyText2"/>
        <w:ind w:left="720"/>
        <w:jc w:val="left"/>
      </w:pPr>
      <w:r>
        <w:t>The impact and likelihood of risks, and appropriate control strategies, will be assessed using the criteria at Appendix 1.</w:t>
      </w:r>
    </w:p>
    <w:p w:rsidR="0010251A" w:rsidRDefault="0010251A">
      <w:pPr>
        <w:pStyle w:val="BodyText2"/>
        <w:jc w:val="left"/>
      </w:pPr>
    </w:p>
    <w:p w:rsidR="0010251A" w:rsidRDefault="0010251A" w:rsidP="0010251A">
      <w:pPr>
        <w:pStyle w:val="BodyText2"/>
        <w:numPr>
          <w:ilvl w:val="2"/>
          <w:numId w:val="10"/>
        </w:numPr>
        <w:jc w:val="left"/>
      </w:pPr>
      <w:r>
        <w:t>Policies and procedures relating to health and safety and personal safety will be applied.</w:t>
      </w:r>
    </w:p>
    <w:p w:rsidR="0010251A" w:rsidRDefault="0010251A">
      <w:pPr>
        <w:pStyle w:val="BodyText2"/>
        <w:jc w:val="left"/>
      </w:pPr>
    </w:p>
    <w:p w:rsidR="0010251A" w:rsidRDefault="0010251A" w:rsidP="0010251A">
      <w:pPr>
        <w:pStyle w:val="BodyText2"/>
        <w:numPr>
          <w:ilvl w:val="2"/>
          <w:numId w:val="10"/>
        </w:numPr>
        <w:jc w:val="left"/>
      </w:pPr>
      <w:r>
        <w:t xml:space="preserve">Every identified risk to Council objectives that is </w:t>
      </w:r>
      <w:r w:rsidR="00E83A04">
        <w:t>high or critical</w:t>
      </w:r>
      <w:r>
        <w:t xml:space="preserve"> and reasonably probable or probable, according to the criteria at Appendix 1 will have a named owner.  They have responsibility to develop a control strategy for that risk and for its reporting to </w:t>
      </w:r>
      <w:r w:rsidR="00430679">
        <w:t>CRMG</w:t>
      </w:r>
      <w:r>
        <w:t>.</w:t>
      </w:r>
    </w:p>
    <w:p w:rsidR="0010251A" w:rsidRDefault="0010251A">
      <w:pPr>
        <w:pStyle w:val="BodyText2"/>
        <w:jc w:val="left"/>
      </w:pPr>
    </w:p>
    <w:p w:rsidR="0010251A" w:rsidRDefault="00430679" w:rsidP="0010251A">
      <w:pPr>
        <w:pStyle w:val="BodyText2"/>
        <w:numPr>
          <w:ilvl w:val="2"/>
          <w:numId w:val="10"/>
        </w:numPr>
        <w:jc w:val="left"/>
      </w:pPr>
      <w:r>
        <w:t>CRMG</w:t>
      </w:r>
      <w:r w:rsidR="0010251A">
        <w:t xml:space="preserve"> will maintain a Corporate Risk Register. This will identify risks, owners, impact, likelihood and control strategy.</w:t>
      </w:r>
      <w:r w:rsidR="000D2D9A">
        <w:t xml:space="preserve"> The control strategy should </w:t>
      </w:r>
      <w:r w:rsidR="00E310A9">
        <w:t xml:space="preserve">recognise </w:t>
      </w:r>
      <w:r w:rsidR="000D2D9A">
        <w:t xml:space="preserve">any opportunities for improvement that may have </w:t>
      </w:r>
      <w:r w:rsidR="00003191">
        <w:t xml:space="preserve">arisen </w:t>
      </w:r>
      <w:r w:rsidR="000D2D9A">
        <w:t>from managing the risk – including the sharing of appropriate learning.</w:t>
      </w:r>
      <w:r w:rsidR="00003191">
        <w:t xml:space="preserve"> These opportunities will be </w:t>
      </w:r>
      <w:r w:rsidR="00E310A9">
        <w:t>clearly identified</w:t>
      </w:r>
      <w:r w:rsidR="00003191">
        <w:t xml:space="preserve"> on the Corporate Risk Register.</w:t>
      </w:r>
    </w:p>
    <w:p w:rsidR="00374EFB" w:rsidRDefault="00374EFB">
      <w:pPr>
        <w:pStyle w:val="ListParagraph"/>
      </w:pPr>
    </w:p>
    <w:p w:rsidR="00C73021" w:rsidRDefault="00895C01">
      <w:pPr>
        <w:pStyle w:val="BodyText2"/>
        <w:jc w:val="left"/>
      </w:pPr>
      <w:proofErr w:type="gramStart"/>
      <w:r>
        <w:t>3.3.0</w:t>
      </w:r>
      <w:r>
        <w:tab/>
      </w:r>
      <w:r w:rsidR="0046550A" w:rsidRPr="0046550A">
        <w:rPr>
          <w:b/>
        </w:rPr>
        <w:t>ISO</w:t>
      </w:r>
      <w:r w:rsidR="00D67263">
        <w:rPr>
          <w:b/>
        </w:rPr>
        <w:t xml:space="preserve"> </w:t>
      </w:r>
      <w:r w:rsidR="0046550A" w:rsidRPr="0046550A">
        <w:rPr>
          <w:b/>
        </w:rPr>
        <w:t>31000 Risk Management Standard</w:t>
      </w:r>
      <w:proofErr w:type="gramEnd"/>
    </w:p>
    <w:p w:rsidR="00374EFB" w:rsidRDefault="00374EFB">
      <w:pPr>
        <w:pStyle w:val="ListParagraph"/>
      </w:pPr>
    </w:p>
    <w:p w:rsidR="00C73021" w:rsidRDefault="00895C01">
      <w:pPr>
        <w:pStyle w:val="BodyText2"/>
        <w:jc w:val="left"/>
      </w:pPr>
      <w:r>
        <w:t>3.3.1</w:t>
      </w:r>
      <w:r>
        <w:tab/>
      </w:r>
      <w:r w:rsidR="00D67263">
        <w:t xml:space="preserve">The Council will manage risk in line with ISO 31000 </w:t>
      </w:r>
      <w:r w:rsidR="0074367F">
        <w:t>principles and guidelines.</w:t>
      </w:r>
    </w:p>
    <w:p w:rsidR="00374EFB" w:rsidRDefault="00374EFB">
      <w:pPr>
        <w:pStyle w:val="BodyText2"/>
        <w:ind w:left="720"/>
        <w:jc w:val="left"/>
      </w:pPr>
    </w:p>
    <w:p w:rsidR="00374EFB" w:rsidRDefault="00374EFB">
      <w:pPr>
        <w:pStyle w:val="BodyText2"/>
        <w:ind w:left="720"/>
        <w:jc w:val="left"/>
      </w:pPr>
    </w:p>
    <w:p w:rsidR="00374EFB" w:rsidRDefault="00374EFB">
      <w:pPr>
        <w:pStyle w:val="BodyText2"/>
      </w:pPr>
    </w:p>
    <w:p w:rsidR="00374EFB" w:rsidRDefault="00CC7DBA">
      <w:pPr>
        <w:pStyle w:val="BodyText2"/>
      </w:pPr>
      <w:r>
        <w:rPr>
          <w:i/>
          <w:noProof/>
          <w:lang w:eastAsia="en-GB"/>
        </w:rPr>
        <w:drawing>
          <wp:inline distT="0" distB="0" distL="0" distR="0">
            <wp:extent cx="5667375" cy="3609975"/>
            <wp:effectExtent l="19050" t="0" r="9525" b="0"/>
            <wp:docPr id="4" name="Picture 1" descr="C:\Documents and Settings\SarahM\Local Settings\Temporary Internet Files\Content.Outlook\GNRS1V3U\ISO 31000 overvi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rahM\Local Settings\Temporary Internet Files\Content.Outlook\GNRS1V3U\ISO 31000 overview image.JPG"/>
                    <pic:cNvPicPr>
                      <a:picLocks noChangeAspect="1" noChangeArrowheads="1"/>
                    </pic:cNvPicPr>
                  </pic:nvPicPr>
                  <pic:blipFill>
                    <a:blip r:embed="rId11" cstate="print"/>
                    <a:srcRect/>
                    <a:stretch>
                      <a:fillRect/>
                    </a:stretch>
                  </pic:blipFill>
                  <pic:spPr bwMode="auto">
                    <a:xfrm>
                      <a:off x="0" y="0"/>
                      <a:ext cx="5667375" cy="3609975"/>
                    </a:xfrm>
                    <a:prstGeom prst="rect">
                      <a:avLst/>
                    </a:prstGeom>
                    <a:noFill/>
                    <a:ln w="9525">
                      <a:noFill/>
                      <a:miter lim="800000"/>
                      <a:headEnd/>
                      <a:tailEnd/>
                    </a:ln>
                  </pic:spPr>
                </pic:pic>
              </a:graphicData>
            </a:graphic>
          </wp:inline>
        </w:drawing>
      </w:r>
    </w:p>
    <w:p w:rsidR="00374EFB" w:rsidRDefault="00374EFB">
      <w:pPr>
        <w:pStyle w:val="BodyText2"/>
        <w:ind w:left="1080"/>
        <w:jc w:val="left"/>
        <w:rPr>
          <w:rFonts w:cs="Arial"/>
          <w:szCs w:val="22"/>
        </w:rPr>
      </w:pPr>
    </w:p>
    <w:p w:rsidR="006F4E49" w:rsidRDefault="006F4E49">
      <w:pPr>
        <w:pStyle w:val="BodyText2"/>
        <w:jc w:val="left"/>
        <w:rPr>
          <w:rFonts w:cs="Arial"/>
          <w:b/>
          <w:szCs w:val="22"/>
        </w:rPr>
      </w:pPr>
    </w:p>
    <w:p w:rsidR="00C73021" w:rsidRDefault="00322332">
      <w:pPr>
        <w:pStyle w:val="BodyText2"/>
        <w:jc w:val="left"/>
        <w:rPr>
          <w:rFonts w:cs="Arial"/>
          <w:b/>
          <w:szCs w:val="22"/>
        </w:rPr>
      </w:pPr>
      <w:r w:rsidRPr="009769F5">
        <w:rPr>
          <w:rFonts w:cs="Arial"/>
          <w:b/>
          <w:szCs w:val="22"/>
        </w:rPr>
        <w:lastRenderedPageBreak/>
        <w:t xml:space="preserve">3.3.2 </w:t>
      </w:r>
      <w:r>
        <w:rPr>
          <w:rFonts w:cs="Arial"/>
          <w:b/>
          <w:szCs w:val="22"/>
        </w:rPr>
        <w:t xml:space="preserve">   </w:t>
      </w:r>
      <w:r w:rsidRPr="009769F5">
        <w:rPr>
          <w:rFonts w:cs="Arial"/>
          <w:b/>
          <w:szCs w:val="22"/>
        </w:rPr>
        <w:t>Opportunity</w:t>
      </w:r>
      <w:r w:rsidR="009769F5" w:rsidRPr="009769F5">
        <w:rPr>
          <w:rFonts w:cs="Arial"/>
          <w:b/>
          <w:szCs w:val="22"/>
        </w:rPr>
        <w:t xml:space="preserve"> risk</w:t>
      </w:r>
    </w:p>
    <w:p w:rsidR="00397314" w:rsidRDefault="00397314">
      <w:pPr>
        <w:pStyle w:val="BodyText2"/>
        <w:ind w:left="1080"/>
        <w:jc w:val="left"/>
        <w:rPr>
          <w:rFonts w:cs="Arial"/>
          <w:szCs w:val="22"/>
        </w:rPr>
      </w:pPr>
    </w:p>
    <w:p w:rsidR="00C73021" w:rsidRDefault="0046550A">
      <w:pPr>
        <w:autoSpaceDE w:val="0"/>
        <w:autoSpaceDN w:val="0"/>
        <w:adjustRightInd w:val="0"/>
        <w:ind w:left="720"/>
        <w:rPr>
          <w:rFonts w:cs="Arial"/>
          <w:sz w:val="22"/>
          <w:szCs w:val="22"/>
        </w:rPr>
      </w:pPr>
      <w:r w:rsidRPr="0046550A">
        <w:rPr>
          <w:rFonts w:cs="Arial"/>
          <w:sz w:val="22"/>
          <w:szCs w:val="22"/>
        </w:rPr>
        <w:t>ISO31000 places an emphasis on risk as potential for events that constitute opportunities for benefit (upside) or threats to success (downside).</w:t>
      </w:r>
      <w:r w:rsidR="00641743">
        <w:rPr>
          <w:rFonts w:cs="Arial"/>
          <w:sz w:val="22"/>
          <w:szCs w:val="22"/>
        </w:rPr>
        <w:t xml:space="preserve">  Traditionally risk management has focussed on threats.  </w:t>
      </w:r>
      <w:r w:rsidR="00DD58F2">
        <w:rPr>
          <w:rFonts w:cs="Arial"/>
          <w:sz w:val="22"/>
          <w:szCs w:val="22"/>
        </w:rPr>
        <w:t>The principles within ISO31000 can be applied to all risk</w:t>
      </w:r>
      <w:r w:rsidR="00E3443F">
        <w:rPr>
          <w:rFonts w:cs="Arial"/>
          <w:sz w:val="22"/>
          <w:szCs w:val="22"/>
        </w:rPr>
        <w:t>s</w:t>
      </w:r>
      <w:r w:rsidR="00DD58F2">
        <w:rPr>
          <w:rFonts w:cs="Arial"/>
          <w:sz w:val="22"/>
          <w:szCs w:val="22"/>
        </w:rPr>
        <w:t xml:space="preserve"> including opportunity </w:t>
      </w:r>
      <w:r w:rsidR="00E3443F">
        <w:rPr>
          <w:rFonts w:cs="Arial"/>
          <w:sz w:val="22"/>
          <w:szCs w:val="22"/>
        </w:rPr>
        <w:t>risk and this provides a structured approach to the management of opportunity.</w:t>
      </w:r>
      <w:r w:rsidR="00DD58F2">
        <w:rPr>
          <w:rFonts w:cs="Arial"/>
          <w:sz w:val="22"/>
          <w:szCs w:val="22"/>
        </w:rPr>
        <w:t xml:space="preserve">  The Council will consider risk</w:t>
      </w:r>
      <w:r w:rsidR="00E3443F">
        <w:rPr>
          <w:rFonts w:cs="Arial"/>
          <w:sz w:val="22"/>
          <w:szCs w:val="22"/>
        </w:rPr>
        <w:t>s</w:t>
      </w:r>
      <w:r w:rsidR="00DD58F2">
        <w:rPr>
          <w:rFonts w:cs="Arial"/>
          <w:sz w:val="22"/>
          <w:szCs w:val="22"/>
        </w:rPr>
        <w:t xml:space="preserve"> from both </w:t>
      </w:r>
      <w:r w:rsidR="00E3443F">
        <w:rPr>
          <w:rFonts w:cs="Arial"/>
          <w:sz w:val="22"/>
          <w:szCs w:val="22"/>
        </w:rPr>
        <w:t xml:space="preserve">a </w:t>
      </w:r>
      <w:r w:rsidR="00DD58F2">
        <w:rPr>
          <w:rFonts w:cs="Arial"/>
          <w:sz w:val="22"/>
          <w:szCs w:val="22"/>
        </w:rPr>
        <w:t xml:space="preserve">positive and negative perspective, </w:t>
      </w:r>
      <w:r w:rsidR="00E3443F">
        <w:rPr>
          <w:rFonts w:cs="Arial"/>
          <w:sz w:val="22"/>
          <w:szCs w:val="22"/>
        </w:rPr>
        <w:t>thereby giving a more balanced view of all risks.</w:t>
      </w:r>
    </w:p>
    <w:p w:rsidR="00C73021" w:rsidRDefault="00C73021">
      <w:pPr>
        <w:pStyle w:val="BodyText2"/>
        <w:jc w:val="left"/>
      </w:pPr>
    </w:p>
    <w:p w:rsidR="0010251A" w:rsidRDefault="0010251A">
      <w:pPr>
        <w:rPr>
          <w:b/>
          <w:sz w:val="22"/>
        </w:rPr>
      </w:pPr>
      <w:r>
        <w:rPr>
          <w:b/>
          <w:sz w:val="22"/>
        </w:rPr>
        <w:t>3.</w:t>
      </w:r>
      <w:r w:rsidR="000B5E9E">
        <w:rPr>
          <w:b/>
          <w:sz w:val="22"/>
        </w:rPr>
        <w:t>4</w:t>
      </w:r>
      <w:r>
        <w:rPr>
          <w:b/>
          <w:sz w:val="22"/>
        </w:rPr>
        <w:tab/>
        <w:t>Risk Acceptance</w:t>
      </w:r>
    </w:p>
    <w:p w:rsidR="0010251A" w:rsidRDefault="0010251A">
      <w:pPr>
        <w:pStyle w:val="BodyText2"/>
        <w:ind w:left="720" w:hanging="720"/>
        <w:jc w:val="left"/>
      </w:pPr>
    </w:p>
    <w:p w:rsidR="00C73021" w:rsidRDefault="000B5E9E">
      <w:pPr>
        <w:pStyle w:val="BodyText2"/>
        <w:ind w:left="720" w:hanging="720"/>
        <w:jc w:val="left"/>
      </w:pPr>
      <w:r>
        <w:t xml:space="preserve">3.4.1 </w:t>
      </w:r>
      <w:r w:rsidR="00895C01">
        <w:tab/>
      </w:r>
      <w:r w:rsidR="0010251A">
        <w:t xml:space="preserve">All risks with a probable or reasonably probable likelihood and a critical </w:t>
      </w:r>
      <w:r w:rsidR="000D2D9A">
        <w:t>or high impact on Council objectives will not, in principle, be tolerated (but see below)</w:t>
      </w:r>
      <w:r w:rsidR="0010251A">
        <w:t xml:space="preserve">.  A control strategy must be developed, and they must be reported to </w:t>
      </w:r>
      <w:r w:rsidR="00430679">
        <w:t>CRMG</w:t>
      </w:r>
      <w:r w:rsidR="0010251A">
        <w:t xml:space="preserve">. </w:t>
      </w:r>
    </w:p>
    <w:p w:rsidR="0010251A" w:rsidRDefault="0010251A">
      <w:pPr>
        <w:pStyle w:val="BodyText2"/>
        <w:jc w:val="left"/>
      </w:pPr>
    </w:p>
    <w:p w:rsidR="00C73021" w:rsidRDefault="00895C01">
      <w:pPr>
        <w:pStyle w:val="BodyText2"/>
        <w:ind w:left="720" w:hanging="720"/>
        <w:jc w:val="left"/>
      </w:pPr>
      <w:r>
        <w:t>3.4.2</w:t>
      </w:r>
      <w:r>
        <w:tab/>
      </w:r>
      <w:r w:rsidR="0010251A">
        <w:t>When risks are accep</w:t>
      </w:r>
      <w:r w:rsidR="000D2D9A">
        <w:t>ted which match the criteria at</w:t>
      </w:r>
      <w:r w:rsidR="00A16253">
        <w:t xml:space="preserve"> 3.3.1</w:t>
      </w:r>
      <w:r w:rsidR="0010251A">
        <w:t xml:space="preserve">, this will be recorded in the risk register, and will be reported to </w:t>
      </w:r>
      <w:r w:rsidR="00430679">
        <w:t>CRMG</w:t>
      </w:r>
      <w:r w:rsidR="0010251A">
        <w:t xml:space="preserve"> along with the rationale.  </w:t>
      </w:r>
      <w:r w:rsidR="00430679">
        <w:t>CRMG</w:t>
      </w:r>
      <w:r w:rsidR="0010251A">
        <w:t xml:space="preserve"> will report to </w:t>
      </w:r>
      <w:r w:rsidR="006E0F6F">
        <w:t>SMT</w:t>
      </w:r>
      <w:r w:rsidR="00A43D39">
        <w:t xml:space="preserve"> quarterly and to</w:t>
      </w:r>
      <w:r w:rsidR="004260C3">
        <w:t xml:space="preserve"> </w:t>
      </w:r>
      <w:r w:rsidR="000D2D9A">
        <w:t>ROSP</w:t>
      </w:r>
      <w:r w:rsidR="00FF170D">
        <w:t xml:space="preserve"> and Audit Committee</w:t>
      </w:r>
      <w:r w:rsidR="00A43D39">
        <w:t xml:space="preserve"> on a six monthly basis</w:t>
      </w:r>
      <w:r w:rsidR="000D2D9A">
        <w:t>.</w:t>
      </w:r>
      <w:r w:rsidR="0010251A">
        <w:t xml:space="preserve">  The position will be reviewed annually.</w:t>
      </w:r>
    </w:p>
    <w:p w:rsidR="0010251A" w:rsidRDefault="0010251A">
      <w:pPr>
        <w:rPr>
          <w:sz w:val="22"/>
        </w:rPr>
      </w:pP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rPr>
      </w:pP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rPr>
        <w:sectPr w:rsidR="0010251A">
          <w:footerReference w:type="default" r:id="rId12"/>
          <w:pgSz w:w="11906" w:h="16838"/>
          <w:pgMar w:top="964" w:right="1134" w:bottom="1440" w:left="1134" w:header="720" w:footer="720" w:gutter="0"/>
          <w:cols w:space="720"/>
        </w:sectPr>
      </w:pP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rPr>
      </w:pPr>
      <w:r>
        <w:rPr>
          <w:b/>
          <w:sz w:val="22"/>
        </w:rPr>
        <w:lastRenderedPageBreak/>
        <w:t xml:space="preserve">Appendix 1 – Risk Assessment </w:t>
      </w:r>
    </w:p>
    <w:p w:rsidR="0010251A" w:rsidRDefault="00721E55">
      <w:pPr>
        <w:pStyle w:val="Heading5"/>
        <w:jc w:val="left"/>
        <w:rPr>
          <w:sz w:val="22"/>
        </w:rPr>
      </w:pPr>
      <w:r>
        <w:t xml:space="preserve">Threat </w:t>
      </w:r>
      <w:r w:rsidR="0010251A">
        <w:t>Impact Assessment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3091"/>
        <w:gridCol w:w="3091"/>
        <w:gridCol w:w="3092"/>
        <w:gridCol w:w="2627"/>
      </w:tblGrid>
      <w:tr w:rsidR="0010251A" w:rsidTr="00187E1F">
        <w:tc>
          <w:tcPr>
            <w:tcW w:w="3091" w:type="dxa"/>
            <w:shd w:val="clear" w:color="auto" w:fill="FFFFFF"/>
          </w:tcPr>
          <w:p w:rsidR="0010251A" w:rsidRDefault="0010251A">
            <w:pPr>
              <w:pStyle w:val="Heading5"/>
              <w:jc w:val="left"/>
              <w:rPr>
                <w:sz w:val="18"/>
              </w:rPr>
            </w:pPr>
            <w:r>
              <w:rPr>
                <w:sz w:val="18"/>
              </w:rPr>
              <w:t>Potential Impact</w:t>
            </w:r>
          </w:p>
        </w:tc>
        <w:tc>
          <w:tcPr>
            <w:tcW w:w="3091" w:type="dxa"/>
          </w:tcPr>
          <w:p w:rsidR="0010251A" w:rsidRDefault="000D2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b/>
                <w:sz w:val="18"/>
              </w:rPr>
              <w:t>Critical</w:t>
            </w:r>
            <w:r w:rsidR="0010251A">
              <w:rPr>
                <w:b/>
                <w:sz w:val="18"/>
              </w:rPr>
              <w:t xml:space="preserve"> 4</w:t>
            </w:r>
          </w:p>
        </w:tc>
        <w:tc>
          <w:tcPr>
            <w:tcW w:w="3091" w:type="dxa"/>
          </w:tcPr>
          <w:p w:rsidR="0010251A" w:rsidRDefault="000D2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b/>
                <w:sz w:val="18"/>
              </w:rPr>
              <w:t>High</w:t>
            </w:r>
            <w:r w:rsidR="0010251A">
              <w:rPr>
                <w:b/>
                <w:sz w:val="18"/>
              </w:rPr>
              <w:t xml:space="preserve">  3</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b/>
                <w:sz w:val="18"/>
              </w:rPr>
              <w:t>Marginal  2</w:t>
            </w:r>
          </w:p>
        </w:tc>
        <w:tc>
          <w:tcPr>
            <w:tcW w:w="2627" w:type="dxa"/>
          </w:tcPr>
          <w:p w:rsidR="0010251A" w:rsidRDefault="0010251A">
            <w:pPr>
              <w:pStyle w:val="Heading6"/>
              <w:rPr>
                <w:sz w:val="18"/>
              </w:rPr>
            </w:pPr>
            <w:proofErr w:type="gramStart"/>
            <w:r>
              <w:rPr>
                <w:sz w:val="18"/>
              </w:rPr>
              <w:t>Negligible  1</w:t>
            </w:r>
            <w:proofErr w:type="gramEnd"/>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meet a Council objective</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a priority aim</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a priority objective</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a publicly stated performance</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achieve an internally agreed objective</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Cost, including legal and insurance costs</w:t>
            </w:r>
          </w:p>
        </w:tc>
        <w:tc>
          <w:tcPr>
            <w:tcW w:w="3091" w:type="dxa"/>
          </w:tcPr>
          <w:p w:rsidR="0010251A" w:rsidRDefault="0010251A">
            <w:pPr>
              <w:pStyle w:val="BodyText3"/>
            </w:pPr>
            <w:r>
              <w:t>Council revenue or capital budget impact of 5%</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Council revenue or capital budget impact of 1-5%</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Council revenue or capital budget impact of less then 1%</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Council revenue or capital budget impact of less than £30k</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Death, injury, or illness of staff or a member of the public</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Death or serious injury of a service user, member of staff, or member of the public due to Council actions or inaction</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Injury of a service user, member of staff, or member of the public due to Council actions or inaction</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Death or serious injury of a service user, member of staff, or member of the public despite appropriate Council actions</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Injury of a service user, member of staff, or member of the public despite appropriate Council actions</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Disruption to service provision</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Inability to provide business critical services</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Reduced ability to provide business critical services in more then one location</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Reduced ability to provide business critical services in one location</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Slight reduction in business critical services in one location</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to public confidence in the Council</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Widespread and permanent reduction in public confidence</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Limited but permanent reduction in public confidence</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Very limited and temporary reduction in public confidence.</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Reduced user satisfaction with services</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Widespread and permanent reduction in user satisfaction</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Limited but permanent reduction in user satisfaction</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Temporary reduction in user satisfaction</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Very limited and temporary reduction in user satisfaction</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to the Council’s reputation</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National adverse media coverage Damage to reputation with the government</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Countywide adverse media coverage</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Compulsory redundancies</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Localised adverse media coverage</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Isolated adverse media coverage</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comply with legislation</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Conscious failure to comply with legislation</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Unconscious failure to comply with legislation</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government policy</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stated government priority</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multiple other government policies</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Failure to deliver on one government policy</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to assets</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Destruction of building (s)</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Inability to maintain information infrastructure</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in excess of £100k</w:t>
            </w:r>
          </w:p>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Minor reductions in information infrastructure</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in excess of £30k</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less than £30k</w:t>
            </w:r>
          </w:p>
        </w:tc>
      </w:tr>
      <w:tr w:rsidR="0010251A" w:rsidTr="00187E1F">
        <w:tc>
          <w:tcPr>
            <w:tcW w:w="3091" w:type="dxa"/>
            <w:shd w:val="clear" w:color="auto" w:fill="FFFFFF"/>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Damage to the environment</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Permanent and significant environmental damage</w:t>
            </w:r>
          </w:p>
        </w:tc>
        <w:tc>
          <w:tcPr>
            <w:tcW w:w="3091"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Permanent environmental damage</w:t>
            </w:r>
          </w:p>
        </w:tc>
        <w:tc>
          <w:tcPr>
            <w:tcW w:w="3092"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Temporary environmental damage</w:t>
            </w:r>
          </w:p>
        </w:tc>
        <w:tc>
          <w:tcPr>
            <w:tcW w:w="2627" w:type="dxa"/>
          </w:tcPr>
          <w:p w:rsidR="0010251A" w:rsidRDefault="00102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tc>
      </w:tr>
    </w:tbl>
    <w:p w:rsidR="0010251A" w:rsidRDefault="0010251A"/>
    <w:p w:rsidR="00721E55" w:rsidRDefault="0010251A">
      <w:pPr>
        <w:pStyle w:val="Heading5"/>
        <w:jc w:val="left"/>
      </w:pPr>
      <w:r>
        <w:br w:type="page"/>
      </w:r>
    </w:p>
    <w:p w:rsidR="00721E55" w:rsidRPr="00721E55" w:rsidRDefault="00721E55" w:rsidP="00721E55">
      <w:pPr>
        <w:pStyle w:val="Heading5"/>
        <w:jc w:val="left"/>
      </w:pPr>
      <w:proofErr w:type="gramStart"/>
      <w:r>
        <w:lastRenderedPageBreak/>
        <w:t>Opportunity Impact Assessment ie.</w:t>
      </w:r>
      <w:proofErr w:type="gramEnd"/>
      <w:r>
        <w:t xml:space="preserve"> </w:t>
      </w:r>
      <w:proofErr w:type="gramStart"/>
      <w:r>
        <w:t>favourable</w:t>
      </w:r>
      <w:proofErr w:type="gramEnd"/>
      <w:r>
        <w:t xml:space="preserve"> impact on achievement of objectives</w:t>
      </w:r>
    </w:p>
    <w:tbl>
      <w:tblPr>
        <w:tblStyle w:val="TableGrid"/>
        <w:tblW w:w="0" w:type="auto"/>
        <w:tblLook w:val="04A0" w:firstRow="1" w:lastRow="0" w:firstColumn="1" w:lastColumn="0" w:noHBand="0" w:noVBand="1"/>
      </w:tblPr>
      <w:tblGrid>
        <w:gridCol w:w="2930"/>
        <w:gridCol w:w="2930"/>
        <w:gridCol w:w="2930"/>
        <w:gridCol w:w="2931"/>
        <w:gridCol w:w="2931"/>
      </w:tblGrid>
      <w:tr w:rsidR="00922891" w:rsidTr="00721E55">
        <w:tc>
          <w:tcPr>
            <w:tcW w:w="2930" w:type="dxa"/>
          </w:tcPr>
          <w:p w:rsidR="00922891" w:rsidRDefault="00922891" w:rsidP="00721E55"/>
        </w:tc>
        <w:tc>
          <w:tcPr>
            <w:tcW w:w="2930" w:type="dxa"/>
          </w:tcPr>
          <w:p w:rsidR="00922891" w:rsidRDefault="00922891" w:rsidP="00175BEF">
            <w:r>
              <w:t>4 Highly Significant</w:t>
            </w:r>
          </w:p>
        </w:tc>
        <w:tc>
          <w:tcPr>
            <w:tcW w:w="2930" w:type="dxa"/>
          </w:tcPr>
          <w:p w:rsidR="00922891" w:rsidRDefault="00922891" w:rsidP="00175BEF">
            <w:r>
              <w:t>3 Significant</w:t>
            </w:r>
          </w:p>
        </w:tc>
        <w:tc>
          <w:tcPr>
            <w:tcW w:w="2931" w:type="dxa"/>
          </w:tcPr>
          <w:p w:rsidR="00922891" w:rsidRDefault="00922891" w:rsidP="00175BEF">
            <w:r>
              <w:t>2 Moderate</w:t>
            </w:r>
          </w:p>
        </w:tc>
        <w:tc>
          <w:tcPr>
            <w:tcW w:w="2931" w:type="dxa"/>
          </w:tcPr>
          <w:p w:rsidR="00922891" w:rsidRDefault="00922891" w:rsidP="00175BEF">
            <w:r>
              <w:t>1 Low</w:t>
            </w:r>
          </w:p>
        </w:tc>
      </w:tr>
      <w:tr w:rsidR="00A07C6C" w:rsidTr="00721E55">
        <w:tc>
          <w:tcPr>
            <w:tcW w:w="2930" w:type="dxa"/>
          </w:tcPr>
          <w:p w:rsidR="00A07C6C" w:rsidRDefault="00A07C6C" w:rsidP="00721E55">
            <w:r>
              <w:t>Financial impact</w:t>
            </w:r>
          </w:p>
        </w:tc>
        <w:tc>
          <w:tcPr>
            <w:tcW w:w="2930" w:type="dxa"/>
          </w:tcPr>
          <w:p w:rsidR="00374EFB" w:rsidRDefault="00A07C6C">
            <w:pPr>
              <w:pStyle w:val="BodyText3"/>
            </w:pPr>
            <w:r>
              <w:t>Council revenue or capital budget impact of 5%</w:t>
            </w:r>
          </w:p>
        </w:tc>
        <w:tc>
          <w:tcPr>
            <w:tcW w:w="2930" w:type="dxa"/>
          </w:tcPr>
          <w:p w:rsidR="00A07C6C" w:rsidRDefault="00A07C6C" w:rsidP="00721E55">
            <w:r>
              <w:rPr>
                <w:sz w:val="18"/>
              </w:rPr>
              <w:t>Council revenue or capital budget impact of 1-5%</w:t>
            </w:r>
          </w:p>
        </w:tc>
        <w:tc>
          <w:tcPr>
            <w:tcW w:w="2931" w:type="dxa"/>
          </w:tcPr>
          <w:p w:rsidR="00A07C6C" w:rsidRDefault="00A07C6C" w:rsidP="00721E55">
            <w:r>
              <w:rPr>
                <w:sz w:val="18"/>
              </w:rPr>
              <w:t>Council revenue or capital budget impact of less then 1%</w:t>
            </w:r>
          </w:p>
        </w:tc>
        <w:tc>
          <w:tcPr>
            <w:tcW w:w="2931" w:type="dxa"/>
          </w:tcPr>
          <w:p w:rsidR="00A07C6C" w:rsidRDefault="00A07C6C" w:rsidP="00721E55">
            <w:r>
              <w:rPr>
                <w:sz w:val="18"/>
              </w:rPr>
              <w:t>Council revenue or capital budget impact of less than £30k</w:t>
            </w:r>
          </w:p>
        </w:tc>
      </w:tr>
      <w:tr w:rsidR="00A07C6C" w:rsidTr="00721E55">
        <w:tc>
          <w:tcPr>
            <w:tcW w:w="2930" w:type="dxa"/>
          </w:tcPr>
          <w:p w:rsidR="00A07C6C" w:rsidRDefault="00A07C6C" w:rsidP="00721E55">
            <w:r>
              <w:t>Impact on achievement of objectives</w:t>
            </w:r>
          </w:p>
        </w:tc>
        <w:tc>
          <w:tcPr>
            <w:tcW w:w="2930" w:type="dxa"/>
          </w:tcPr>
          <w:p w:rsidR="00A07C6C" w:rsidRDefault="00A07C6C" w:rsidP="00721E55">
            <w:r>
              <w:rPr>
                <w:sz w:val="18"/>
              </w:rPr>
              <w:t>Delivery of a priority aim</w:t>
            </w:r>
          </w:p>
        </w:tc>
        <w:tc>
          <w:tcPr>
            <w:tcW w:w="2930" w:type="dxa"/>
          </w:tcPr>
          <w:p w:rsidR="00A07C6C" w:rsidRDefault="00A07C6C" w:rsidP="00721E55">
            <w:r>
              <w:rPr>
                <w:sz w:val="18"/>
              </w:rPr>
              <w:t>Delivery of a priority objective</w:t>
            </w:r>
          </w:p>
        </w:tc>
        <w:tc>
          <w:tcPr>
            <w:tcW w:w="2931" w:type="dxa"/>
          </w:tcPr>
          <w:p w:rsidR="00A07C6C" w:rsidRDefault="00A07C6C" w:rsidP="00721E55">
            <w:r>
              <w:rPr>
                <w:sz w:val="18"/>
              </w:rPr>
              <w:t>Delivery of a publicly stated performance</w:t>
            </w:r>
          </w:p>
        </w:tc>
        <w:tc>
          <w:tcPr>
            <w:tcW w:w="2931" w:type="dxa"/>
          </w:tcPr>
          <w:p w:rsidR="00A07C6C" w:rsidRDefault="00A07C6C" w:rsidP="00721E55">
            <w:r>
              <w:rPr>
                <w:sz w:val="18"/>
              </w:rPr>
              <w:t>Delivery of an internally agreed objective</w:t>
            </w:r>
          </w:p>
        </w:tc>
      </w:tr>
      <w:tr w:rsidR="00175BEF" w:rsidTr="00721E55">
        <w:tc>
          <w:tcPr>
            <w:tcW w:w="2930" w:type="dxa"/>
          </w:tcPr>
          <w:p w:rsidR="00175BEF" w:rsidRDefault="00175BEF" w:rsidP="00A07C6C">
            <w:r>
              <w:t xml:space="preserve">Impact on </w:t>
            </w:r>
            <w:r w:rsidR="00A07C6C">
              <w:t>people</w:t>
            </w:r>
          </w:p>
        </w:tc>
        <w:tc>
          <w:tcPr>
            <w:tcW w:w="2930" w:type="dxa"/>
          </w:tcPr>
          <w:p w:rsidR="00175BEF" w:rsidRPr="00A07C6C" w:rsidRDefault="0046550A" w:rsidP="00721E55">
            <w:pPr>
              <w:spacing w:before="25" w:after="120"/>
              <w:rPr>
                <w:sz w:val="18"/>
                <w:szCs w:val="18"/>
              </w:rPr>
            </w:pPr>
            <w:r w:rsidRPr="0046550A">
              <w:rPr>
                <w:sz w:val="18"/>
                <w:szCs w:val="18"/>
              </w:rPr>
              <w:t xml:space="preserve">Widespread benefit to residents of Carlisle </w:t>
            </w:r>
          </w:p>
        </w:tc>
        <w:tc>
          <w:tcPr>
            <w:tcW w:w="2930" w:type="dxa"/>
          </w:tcPr>
          <w:p w:rsidR="00175BEF" w:rsidRPr="00A07C6C" w:rsidRDefault="0046550A" w:rsidP="00721E55">
            <w:pPr>
              <w:spacing w:before="25" w:after="120"/>
              <w:rPr>
                <w:sz w:val="18"/>
                <w:szCs w:val="18"/>
              </w:rPr>
            </w:pPr>
            <w:r w:rsidRPr="0046550A">
              <w:rPr>
                <w:sz w:val="18"/>
                <w:szCs w:val="18"/>
              </w:rPr>
              <w:t>Benefit</w:t>
            </w:r>
            <w:r w:rsidR="00A07C6C">
              <w:rPr>
                <w:sz w:val="18"/>
                <w:szCs w:val="18"/>
              </w:rPr>
              <w:t xml:space="preserve"> to more than one ward</w:t>
            </w:r>
          </w:p>
        </w:tc>
        <w:tc>
          <w:tcPr>
            <w:tcW w:w="2931" w:type="dxa"/>
          </w:tcPr>
          <w:p w:rsidR="00175BEF" w:rsidRPr="00A07C6C" w:rsidRDefault="00A07C6C" w:rsidP="00721E55">
            <w:pPr>
              <w:spacing w:before="25" w:after="120"/>
              <w:rPr>
                <w:sz w:val="18"/>
                <w:szCs w:val="18"/>
              </w:rPr>
            </w:pPr>
            <w:r>
              <w:rPr>
                <w:sz w:val="18"/>
                <w:szCs w:val="18"/>
              </w:rPr>
              <w:t>Benefit to one ward</w:t>
            </w:r>
          </w:p>
        </w:tc>
        <w:tc>
          <w:tcPr>
            <w:tcW w:w="2931" w:type="dxa"/>
          </w:tcPr>
          <w:p w:rsidR="00175BEF" w:rsidRPr="00A07C6C" w:rsidRDefault="00A07C6C" w:rsidP="00721E55">
            <w:pPr>
              <w:spacing w:before="25" w:after="120"/>
              <w:rPr>
                <w:sz w:val="18"/>
                <w:szCs w:val="18"/>
              </w:rPr>
            </w:pPr>
            <w:r>
              <w:rPr>
                <w:sz w:val="18"/>
                <w:szCs w:val="18"/>
              </w:rPr>
              <w:t>Isolated benefit</w:t>
            </w:r>
          </w:p>
        </w:tc>
      </w:tr>
    </w:tbl>
    <w:p w:rsidR="00374EFB" w:rsidRDefault="00374EFB"/>
    <w:p w:rsidR="0010251A" w:rsidRDefault="0010251A">
      <w:pPr>
        <w:pStyle w:val="Heading5"/>
        <w:jc w:val="left"/>
      </w:pPr>
      <w:r>
        <w:t>Likelihood Assessment</w:t>
      </w:r>
    </w:p>
    <w:p w:rsidR="0010251A" w:rsidRDefault="0010251A">
      <w:pPr>
        <w:rPr>
          <w:sz w:val="18"/>
        </w:rPr>
      </w:pPr>
      <w:r>
        <w:rPr>
          <w:b/>
          <w:sz w:val="18"/>
        </w:rPr>
        <w:t>Probable</w:t>
      </w:r>
      <w:r>
        <w:rPr>
          <w:sz w:val="18"/>
        </w:rPr>
        <w:t xml:space="preserve"> – likely to occur in the short term</w:t>
      </w:r>
      <w:r w:rsidR="00175BEF">
        <w:rPr>
          <w:sz w:val="18"/>
        </w:rPr>
        <w:t xml:space="preserve"> (for opportunity risk – relied upon with reasonable certainty based on current management processes)</w:t>
      </w:r>
    </w:p>
    <w:p w:rsidR="0010251A" w:rsidRDefault="0010251A">
      <w:pPr>
        <w:rPr>
          <w:sz w:val="18"/>
        </w:rPr>
      </w:pPr>
    </w:p>
    <w:p w:rsidR="0010251A" w:rsidRDefault="0010251A">
      <w:pPr>
        <w:rPr>
          <w:sz w:val="18"/>
        </w:rPr>
      </w:pPr>
      <w:r>
        <w:rPr>
          <w:b/>
          <w:sz w:val="18"/>
        </w:rPr>
        <w:t>Reasonably probable</w:t>
      </w:r>
      <w:r>
        <w:rPr>
          <w:sz w:val="18"/>
        </w:rPr>
        <w:t xml:space="preserve"> – probably will occur at some point</w:t>
      </w:r>
      <w:r w:rsidR="00175BEF">
        <w:rPr>
          <w:sz w:val="18"/>
        </w:rPr>
        <w:t xml:space="preserve"> (for opportunity risk – </w:t>
      </w:r>
      <w:r w:rsidR="00333C0D">
        <w:rPr>
          <w:sz w:val="18"/>
        </w:rPr>
        <w:t>achievable with careful management</w:t>
      </w:r>
      <w:r w:rsidR="00175BEF">
        <w:rPr>
          <w:sz w:val="18"/>
        </w:rPr>
        <w:t>)</w:t>
      </w:r>
    </w:p>
    <w:p w:rsidR="0010251A" w:rsidRDefault="0010251A">
      <w:pPr>
        <w:rPr>
          <w:sz w:val="18"/>
        </w:rPr>
      </w:pPr>
    </w:p>
    <w:p w:rsidR="0010251A" w:rsidRDefault="0010251A">
      <w:pPr>
        <w:rPr>
          <w:sz w:val="18"/>
        </w:rPr>
      </w:pPr>
      <w:r>
        <w:rPr>
          <w:b/>
          <w:sz w:val="18"/>
        </w:rPr>
        <w:t>Remote</w:t>
      </w:r>
      <w:r>
        <w:rPr>
          <w:sz w:val="18"/>
        </w:rPr>
        <w:t xml:space="preserve"> – may occur in time</w:t>
      </w:r>
      <w:r w:rsidR="00333C0D">
        <w:rPr>
          <w:sz w:val="18"/>
        </w:rPr>
        <w:t xml:space="preserve"> (for opportunity risk – likelihood low based on current management processes)</w:t>
      </w:r>
    </w:p>
    <w:p w:rsidR="0010251A" w:rsidRDefault="0010251A">
      <w:pPr>
        <w:rPr>
          <w:sz w:val="18"/>
        </w:rPr>
      </w:pPr>
    </w:p>
    <w:p w:rsidR="0010251A" w:rsidRDefault="0010251A">
      <w:pPr>
        <w:rPr>
          <w:sz w:val="18"/>
        </w:rPr>
      </w:pPr>
      <w:r>
        <w:rPr>
          <w:b/>
          <w:sz w:val="18"/>
        </w:rPr>
        <w:t>Extremely remote</w:t>
      </w:r>
      <w:r>
        <w:rPr>
          <w:sz w:val="18"/>
        </w:rPr>
        <w:t xml:space="preserve"> – unlikely to occur</w:t>
      </w:r>
      <w:r w:rsidR="00333C0D">
        <w:rPr>
          <w:sz w:val="18"/>
        </w:rPr>
        <w:t xml:space="preserve"> (for opportunity risk – unlikely with current management processes)</w:t>
      </w:r>
    </w:p>
    <w:p w:rsidR="0010251A" w:rsidRDefault="0010251A">
      <w:pPr>
        <w:rPr>
          <w:sz w:val="22"/>
        </w:rPr>
      </w:pPr>
    </w:p>
    <w:p w:rsidR="0010251A" w:rsidRDefault="0010251A">
      <w:pPr>
        <w:rPr>
          <w:sz w:val="22"/>
        </w:rPr>
      </w:pPr>
      <w:r>
        <w:rPr>
          <w:b/>
          <w:sz w:val="22"/>
        </w:rPr>
        <w:t xml:space="preserve">Risk Scoring: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3091"/>
        <w:gridCol w:w="3091"/>
        <w:gridCol w:w="3092"/>
        <w:gridCol w:w="2202"/>
      </w:tblGrid>
      <w:tr w:rsidR="0010251A" w:rsidTr="00187E1F">
        <w:tc>
          <w:tcPr>
            <w:tcW w:w="3091" w:type="dxa"/>
          </w:tcPr>
          <w:p w:rsidR="0010251A" w:rsidRDefault="0010251A">
            <w:pPr>
              <w:rPr>
                <w:sz w:val="18"/>
              </w:rPr>
            </w:pPr>
            <w:r>
              <w:rPr>
                <w:sz w:val="18"/>
              </w:rPr>
              <w:t>Probable 4</w:t>
            </w:r>
          </w:p>
        </w:tc>
        <w:tc>
          <w:tcPr>
            <w:tcW w:w="3091" w:type="dxa"/>
            <w:shd w:val="clear" w:color="auto" w:fill="FFFFFF"/>
          </w:tcPr>
          <w:p w:rsidR="0010251A" w:rsidRDefault="0010251A">
            <w:pPr>
              <w:rPr>
                <w:b/>
                <w:sz w:val="18"/>
              </w:rPr>
            </w:pPr>
            <w:r>
              <w:rPr>
                <w:b/>
                <w:sz w:val="18"/>
              </w:rPr>
              <w:t>4</w:t>
            </w:r>
          </w:p>
          <w:p w:rsidR="0010251A" w:rsidRDefault="0010251A">
            <w:pPr>
              <w:rPr>
                <w:b/>
                <w:sz w:val="18"/>
              </w:rPr>
            </w:pPr>
          </w:p>
        </w:tc>
        <w:tc>
          <w:tcPr>
            <w:tcW w:w="3091" w:type="dxa"/>
            <w:shd w:val="clear" w:color="auto" w:fill="FFFFFF"/>
          </w:tcPr>
          <w:p w:rsidR="0010251A" w:rsidRDefault="0010251A">
            <w:pPr>
              <w:rPr>
                <w:b/>
                <w:sz w:val="18"/>
              </w:rPr>
            </w:pPr>
            <w:r>
              <w:rPr>
                <w:b/>
                <w:sz w:val="18"/>
              </w:rPr>
              <w:t>8</w:t>
            </w:r>
          </w:p>
        </w:tc>
        <w:tc>
          <w:tcPr>
            <w:tcW w:w="3092" w:type="dxa"/>
            <w:shd w:val="clear" w:color="auto" w:fill="FFFFFF"/>
          </w:tcPr>
          <w:p w:rsidR="0010251A" w:rsidRDefault="0010251A">
            <w:pPr>
              <w:rPr>
                <w:b/>
                <w:sz w:val="18"/>
              </w:rPr>
            </w:pPr>
            <w:r>
              <w:rPr>
                <w:b/>
                <w:sz w:val="18"/>
              </w:rPr>
              <w:t>12</w:t>
            </w:r>
          </w:p>
        </w:tc>
        <w:tc>
          <w:tcPr>
            <w:tcW w:w="2202" w:type="dxa"/>
            <w:shd w:val="clear" w:color="auto" w:fill="FFFFFF"/>
          </w:tcPr>
          <w:p w:rsidR="0010251A" w:rsidRDefault="0010251A">
            <w:pPr>
              <w:rPr>
                <w:b/>
                <w:sz w:val="18"/>
              </w:rPr>
            </w:pPr>
            <w:r>
              <w:rPr>
                <w:b/>
                <w:sz w:val="18"/>
              </w:rPr>
              <w:t>16</w:t>
            </w:r>
          </w:p>
        </w:tc>
      </w:tr>
      <w:tr w:rsidR="0010251A" w:rsidTr="00187E1F">
        <w:tc>
          <w:tcPr>
            <w:tcW w:w="3091" w:type="dxa"/>
          </w:tcPr>
          <w:p w:rsidR="0010251A" w:rsidRDefault="0010251A">
            <w:pPr>
              <w:rPr>
                <w:sz w:val="18"/>
              </w:rPr>
            </w:pPr>
            <w:r>
              <w:rPr>
                <w:sz w:val="18"/>
              </w:rPr>
              <w:t>Reasonably probable 3</w:t>
            </w:r>
          </w:p>
        </w:tc>
        <w:tc>
          <w:tcPr>
            <w:tcW w:w="3091" w:type="dxa"/>
            <w:shd w:val="clear" w:color="auto" w:fill="FFFFFF"/>
          </w:tcPr>
          <w:p w:rsidR="0010251A" w:rsidRDefault="0010251A">
            <w:pPr>
              <w:rPr>
                <w:b/>
                <w:sz w:val="18"/>
              </w:rPr>
            </w:pPr>
            <w:r>
              <w:rPr>
                <w:b/>
                <w:sz w:val="18"/>
              </w:rPr>
              <w:t>3</w:t>
            </w:r>
          </w:p>
          <w:p w:rsidR="0010251A" w:rsidRDefault="0010251A">
            <w:pPr>
              <w:rPr>
                <w:b/>
                <w:sz w:val="18"/>
              </w:rPr>
            </w:pPr>
          </w:p>
        </w:tc>
        <w:tc>
          <w:tcPr>
            <w:tcW w:w="3091" w:type="dxa"/>
            <w:shd w:val="clear" w:color="auto" w:fill="FFFFFF"/>
          </w:tcPr>
          <w:p w:rsidR="0010251A" w:rsidRDefault="0010251A">
            <w:pPr>
              <w:rPr>
                <w:b/>
                <w:sz w:val="18"/>
              </w:rPr>
            </w:pPr>
            <w:r>
              <w:rPr>
                <w:b/>
                <w:sz w:val="18"/>
              </w:rPr>
              <w:t>6</w:t>
            </w:r>
          </w:p>
        </w:tc>
        <w:tc>
          <w:tcPr>
            <w:tcW w:w="3092" w:type="dxa"/>
            <w:shd w:val="clear" w:color="auto" w:fill="FFFFFF"/>
          </w:tcPr>
          <w:p w:rsidR="0010251A" w:rsidRDefault="0010251A">
            <w:pPr>
              <w:rPr>
                <w:b/>
                <w:sz w:val="18"/>
              </w:rPr>
            </w:pPr>
            <w:r>
              <w:rPr>
                <w:b/>
                <w:sz w:val="18"/>
              </w:rPr>
              <w:t>9</w:t>
            </w:r>
          </w:p>
        </w:tc>
        <w:tc>
          <w:tcPr>
            <w:tcW w:w="2202" w:type="dxa"/>
            <w:shd w:val="clear" w:color="auto" w:fill="FFFFFF"/>
          </w:tcPr>
          <w:p w:rsidR="0010251A" w:rsidRDefault="0010251A">
            <w:pPr>
              <w:rPr>
                <w:b/>
                <w:sz w:val="18"/>
              </w:rPr>
            </w:pPr>
            <w:r>
              <w:rPr>
                <w:b/>
                <w:sz w:val="18"/>
              </w:rPr>
              <w:t>12</w:t>
            </w:r>
          </w:p>
        </w:tc>
      </w:tr>
      <w:tr w:rsidR="0010251A" w:rsidTr="00187E1F">
        <w:tc>
          <w:tcPr>
            <w:tcW w:w="3091" w:type="dxa"/>
          </w:tcPr>
          <w:p w:rsidR="0010251A" w:rsidRDefault="0010251A">
            <w:pPr>
              <w:rPr>
                <w:sz w:val="18"/>
              </w:rPr>
            </w:pPr>
            <w:r>
              <w:rPr>
                <w:sz w:val="18"/>
              </w:rPr>
              <w:t>Remote 2</w:t>
            </w:r>
          </w:p>
        </w:tc>
        <w:tc>
          <w:tcPr>
            <w:tcW w:w="3091" w:type="dxa"/>
            <w:shd w:val="clear" w:color="auto" w:fill="FFFFFF"/>
          </w:tcPr>
          <w:p w:rsidR="0010251A" w:rsidRDefault="0010251A">
            <w:pPr>
              <w:rPr>
                <w:b/>
                <w:sz w:val="18"/>
              </w:rPr>
            </w:pPr>
            <w:r>
              <w:rPr>
                <w:b/>
                <w:sz w:val="18"/>
              </w:rPr>
              <w:t>2</w:t>
            </w:r>
          </w:p>
          <w:p w:rsidR="0010251A" w:rsidRDefault="0010251A">
            <w:pPr>
              <w:rPr>
                <w:b/>
                <w:sz w:val="18"/>
              </w:rPr>
            </w:pPr>
          </w:p>
        </w:tc>
        <w:tc>
          <w:tcPr>
            <w:tcW w:w="3091" w:type="dxa"/>
            <w:shd w:val="clear" w:color="auto" w:fill="FFFFFF"/>
          </w:tcPr>
          <w:p w:rsidR="0010251A" w:rsidRDefault="0010251A">
            <w:pPr>
              <w:rPr>
                <w:b/>
                <w:sz w:val="18"/>
              </w:rPr>
            </w:pPr>
            <w:r>
              <w:rPr>
                <w:b/>
                <w:sz w:val="18"/>
              </w:rPr>
              <w:t>4</w:t>
            </w:r>
          </w:p>
        </w:tc>
        <w:tc>
          <w:tcPr>
            <w:tcW w:w="3092" w:type="dxa"/>
            <w:shd w:val="clear" w:color="auto" w:fill="FFFFFF"/>
          </w:tcPr>
          <w:p w:rsidR="0010251A" w:rsidRDefault="0010251A">
            <w:pPr>
              <w:rPr>
                <w:b/>
                <w:sz w:val="18"/>
              </w:rPr>
            </w:pPr>
            <w:r>
              <w:rPr>
                <w:b/>
                <w:sz w:val="18"/>
              </w:rPr>
              <w:t>6</w:t>
            </w:r>
          </w:p>
        </w:tc>
        <w:tc>
          <w:tcPr>
            <w:tcW w:w="2202" w:type="dxa"/>
            <w:shd w:val="clear" w:color="auto" w:fill="FFFFFF"/>
          </w:tcPr>
          <w:p w:rsidR="0010251A" w:rsidRDefault="0010251A">
            <w:pPr>
              <w:rPr>
                <w:b/>
                <w:sz w:val="18"/>
              </w:rPr>
            </w:pPr>
            <w:r>
              <w:rPr>
                <w:b/>
                <w:sz w:val="18"/>
              </w:rPr>
              <w:t>8</w:t>
            </w:r>
          </w:p>
        </w:tc>
      </w:tr>
      <w:tr w:rsidR="0010251A" w:rsidTr="00187E1F">
        <w:tc>
          <w:tcPr>
            <w:tcW w:w="3091" w:type="dxa"/>
          </w:tcPr>
          <w:p w:rsidR="0010251A" w:rsidRDefault="0010251A">
            <w:pPr>
              <w:rPr>
                <w:sz w:val="18"/>
              </w:rPr>
            </w:pPr>
            <w:r>
              <w:rPr>
                <w:sz w:val="18"/>
              </w:rPr>
              <w:t>Extremely Remote 1</w:t>
            </w:r>
          </w:p>
        </w:tc>
        <w:tc>
          <w:tcPr>
            <w:tcW w:w="3091" w:type="dxa"/>
            <w:shd w:val="clear" w:color="auto" w:fill="FFFFFF"/>
          </w:tcPr>
          <w:p w:rsidR="0010251A" w:rsidRDefault="0010251A">
            <w:pPr>
              <w:rPr>
                <w:b/>
                <w:sz w:val="18"/>
              </w:rPr>
            </w:pPr>
            <w:r>
              <w:rPr>
                <w:b/>
                <w:sz w:val="18"/>
              </w:rPr>
              <w:t>1</w:t>
            </w:r>
          </w:p>
          <w:p w:rsidR="0010251A" w:rsidRDefault="0010251A">
            <w:pPr>
              <w:rPr>
                <w:b/>
                <w:sz w:val="18"/>
              </w:rPr>
            </w:pPr>
          </w:p>
        </w:tc>
        <w:tc>
          <w:tcPr>
            <w:tcW w:w="3091" w:type="dxa"/>
            <w:shd w:val="clear" w:color="auto" w:fill="FFFFFF"/>
          </w:tcPr>
          <w:p w:rsidR="0010251A" w:rsidRDefault="0010251A">
            <w:pPr>
              <w:rPr>
                <w:b/>
                <w:sz w:val="18"/>
              </w:rPr>
            </w:pPr>
            <w:r>
              <w:rPr>
                <w:b/>
                <w:sz w:val="18"/>
              </w:rPr>
              <w:t>2</w:t>
            </w:r>
          </w:p>
        </w:tc>
        <w:tc>
          <w:tcPr>
            <w:tcW w:w="3092" w:type="dxa"/>
            <w:shd w:val="clear" w:color="auto" w:fill="FFFFFF"/>
          </w:tcPr>
          <w:p w:rsidR="0010251A" w:rsidRDefault="0010251A">
            <w:pPr>
              <w:rPr>
                <w:b/>
                <w:sz w:val="18"/>
              </w:rPr>
            </w:pPr>
            <w:r>
              <w:rPr>
                <w:b/>
                <w:sz w:val="18"/>
              </w:rPr>
              <w:t>3</w:t>
            </w:r>
          </w:p>
        </w:tc>
        <w:tc>
          <w:tcPr>
            <w:tcW w:w="2202" w:type="dxa"/>
            <w:shd w:val="clear" w:color="auto" w:fill="FFFFFF"/>
          </w:tcPr>
          <w:p w:rsidR="0010251A" w:rsidRDefault="0010251A">
            <w:pPr>
              <w:rPr>
                <w:b/>
                <w:sz w:val="18"/>
              </w:rPr>
            </w:pPr>
            <w:r>
              <w:rPr>
                <w:b/>
                <w:sz w:val="18"/>
              </w:rPr>
              <w:t>4</w:t>
            </w:r>
          </w:p>
        </w:tc>
      </w:tr>
      <w:tr w:rsidR="0010251A" w:rsidTr="00187E1F">
        <w:tc>
          <w:tcPr>
            <w:tcW w:w="3091" w:type="dxa"/>
          </w:tcPr>
          <w:p w:rsidR="0010251A" w:rsidRDefault="0010251A">
            <w:pPr>
              <w:rPr>
                <w:sz w:val="18"/>
              </w:rPr>
            </w:pPr>
          </w:p>
        </w:tc>
        <w:tc>
          <w:tcPr>
            <w:tcW w:w="3091" w:type="dxa"/>
          </w:tcPr>
          <w:p w:rsidR="0010251A" w:rsidRDefault="0010251A">
            <w:pPr>
              <w:rPr>
                <w:sz w:val="18"/>
              </w:rPr>
            </w:pPr>
            <w:r>
              <w:rPr>
                <w:sz w:val="18"/>
              </w:rPr>
              <w:t>Negligible Impact 1</w:t>
            </w:r>
          </w:p>
        </w:tc>
        <w:tc>
          <w:tcPr>
            <w:tcW w:w="3091" w:type="dxa"/>
          </w:tcPr>
          <w:p w:rsidR="0010251A" w:rsidRDefault="0010251A">
            <w:pPr>
              <w:rPr>
                <w:sz w:val="18"/>
              </w:rPr>
            </w:pPr>
            <w:r>
              <w:rPr>
                <w:sz w:val="18"/>
              </w:rPr>
              <w:t>Marginal Impact 2</w:t>
            </w:r>
          </w:p>
        </w:tc>
        <w:tc>
          <w:tcPr>
            <w:tcW w:w="3092" w:type="dxa"/>
          </w:tcPr>
          <w:p w:rsidR="0010251A" w:rsidRDefault="009E3198">
            <w:pPr>
              <w:rPr>
                <w:sz w:val="18"/>
              </w:rPr>
            </w:pPr>
            <w:r>
              <w:rPr>
                <w:sz w:val="18"/>
              </w:rPr>
              <w:t>High</w:t>
            </w:r>
            <w:r w:rsidR="0010251A">
              <w:rPr>
                <w:sz w:val="18"/>
              </w:rPr>
              <w:t xml:space="preserve"> Impact 3</w:t>
            </w:r>
          </w:p>
        </w:tc>
        <w:tc>
          <w:tcPr>
            <w:tcW w:w="2202" w:type="dxa"/>
          </w:tcPr>
          <w:p w:rsidR="0010251A" w:rsidRDefault="009E3198">
            <w:pPr>
              <w:rPr>
                <w:sz w:val="18"/>
              </w:rPr>
            </w:pPr>
            <w:r>
              <w:rPr>
                <w:sz w:val="18"/>
              </w:rPr>
              <w:t>Critical</w:t>
            </w:r>
            <w:r w:rsidR="0010251A">
              <w:rPr>
                <w:sz w:val="18"/>
              </w:rPr>
              <w:t xml:space="preserve"> Impact 4</w:t>
            </w:r>
          </w:p>
        </w:tc>
      </w:tr>
    </w:tbl>
    <w:p w:rsidR="003722CA" w:rsidRDefault="003722CA">
      <w:pPr>
        <w:rPr>
          <w:sz w:val="22"/>
        </w:rPr>
        <w:sectPr w:rsidR="003722CA" w:rsidSect="00187E1F">
          <w:headerReference w:type="default" r:id="rId13"/>
          <w:pgSz w:w="16840" w:h="11907" w:orient="landscape" w:code="9"/>
          <w:pgMar w:top="1134" w:right="964" w:bottom="1134" w:left="1440" w:header="720" w:footer="720" w:gutter="0"/>
          <w:cols w:space="720"/>
          <w:docGrid w:linePitch="360"/>
        </w:sectPr>
      </w:pPr>
    </w:p>
    <w:p w:rsidR="00780528" w:rsidRPr="00187E1F" w:rsidRDefault="00780528" w:rsidP="00187E1F">
      <w:pPr>
        <w:rPr>
          <w:b/>
        </w:rPr>
      </w:pPr>
      <w:r w:rsidRPr="00187E1F">
        <w:rPr>
          <w:b/>
        </w:rPr>
        <w:lastRenderedPageBreak/>
        <w:t>Potential Mitigating Actions</w:t>
      </w:r>
    </w:p>
    <w:p w:rsidR="00187E1F" w:rsidRDefault="00187E1F" w:rsidP="00187E1F"/>
    <w:p w:rsidR="00187E1F" w:rsidRDefault="00187E1F" w:rsidP="00187E1F"/>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2361"/>
        <w:gridCol w:w="2017"/>
        <w:gridCol w:w="2568"/>
        <w:gridCol w:w="1134"/>
        <w:gridCol w:w="708"/>
      </w:tblGrid>
      <w:tr w:rsidR="00373FE0" w:rsidRPr="00D03B59" w:rsidTr="00373FE0">
        <w:trPr>
          <w:cantSplit/>
        </w:trPr>
        <w:tc>
          <w:tcPr>
            <w:tcW w:w="710" w:type="dxa"/>
            <w:vMerge w:val="restart"/>
            <w:shd w:val="clear" w:color="auto" w:fill="C0C0C0"/>
            <w:textDirection w:val="btLr"/>
          </w:tcPr>
          <w:p w:rsidR="00780528" w:rsidRPr="00373FE0" w:rsidRDefault="00780528" w:rsidP="00A62B6C">
            <w:pPr>
              <w:ind w:left="113" w:right="113"/>
              <w:jc w:val="center"/>
              <w:rPr>
                <w:rFonts w:cs="Arial"/>
                <w:bCs/>
                <w:color w:val="0000FF"/>
                <w:sz w:val="40"/>
                <w:szCs w:val="40"/>
              </w:rPr>
            </w:pPr>
            <w:r>
              <w:rPr>
                <w:rFonts w:cs="Arial"/>
                <w:b/>
                <w:color w:val="0000FF"/>
                <w:sz w:val="18"/>
                <w:szCs w:val="18"/>
              </w:rPr>
              <w:t xml:space="preserve"> </w:t>
            </w:r>
            <w:r w:rsidRPr="00373FE0">
              <w:rPr>
                <w:rFonts w:cs="Arial"/>
                <w:color w:val="0000FF"/>
                <w:sz w:val="40"/>
                <w:szCs w:val="40"/>
              </w:rPr>
              <w:t>Threats</w:t>
            </w:r>
          </w:p>
        </w:tc>
        <w:tc>
          <w:tcPr>
            <w:tcW w:w="1134" w:type="dxa"/>
            <w:shd w:val="clear" w:color="auto" w:fill="E0E0E0"/>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Avoid</w:t>
            </w:r>
          </w:p>
          <w:p w:rsidR="00780528" w:rsidRPr="00373FE0" w:rsidRDefault="00780528" w:rsidP="00A62B6C">
            <w:pPr>
              <w:jc w:val="center"/>
              <w:rPr>
                <w:rFonts w:cs="Arial"/>
                <w:b/>
                <w:bCs/>
                <w:color w:val="0000FF"/>
                <w:sz w:val="22"/>
                <w:szCs w:val="22"/>
              </w:rPr>
            </w:pPr>
          </w:p>
        </w:tc>
        <w:tc>
          <w:tcPr>
            <w:tcW w:w="2361"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Quick, decisive action, fundamental change eg revise strategy, revisit objectives or stop the activity</w:t>
            </w:r>
          </w:p>
        </w:tc>
        <w:tc>
          <w:tcPr>
            <w:tcW w:w="2017" w:type="dxa"/>
            <w:vMerge w:val="restart"/>
            <w:shd w:val="clear" w:color="auto" w:fill="C0C0C0"/>
          </w:tcPr>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D03B59" w:rsidRDefault="00780528" w:rsidP="00A62B6C">
            <w:pPr>
              <w:jc w:val="center"/>
              <w:rPr>
                <w:rFonts w:cs="Arial"/>
                <w:b/>
                <w:bCs/>
                <w:color w:val="0000FF"/>
                <w:sz w:val="18"/>
                <w:szCs w:val="18"/>
              </w:rPr>
            </w:pPr>
          </w:p>
          <w:p w:rsidR="00780528" w:rsidRPr="00373FE0" w:rsidRDefault="00780528" w:rsidP="00A62B6C">
            <w:pPr>
              <w:jc w:val="center"/>
              <w:rPr>
                <w:rFonts w:cs="Arial"/>
                <w:bCs/>
                <w:color w:val="0000FF"/>
                <w:sz w:val="40"/>
                <w:szCs w:val="40"/>
              </w:rPr>
            </w:pPr>
            <w:r w:rsidRPr="00373FE0">
              <w:rPr>
                <w:rFonts w:cs="Arial"/>
                <w:bCs/>
                <w:color w:val="0000FF"/>
                <w:sz w:val="40"/>
                <w:szCs w:val="40"/>
              </w:rPr>
              <w:t>Risk</w:t>
            </w:r>
          </w:p>
          <w:p w:rsidR="00780528" w:rsidRPr="00373FE0" w:rsidRDefault="00780528" w:rsidP="00A62B6C">
            <w:pPr>
              <w:jc w:val="center"/>
              <w:rPr>
                <w:rFonts w:cs="Arial"/>
                <w:bCs/>
                <w:color w:val="0000FF"/>
                <w:sz w:val="40"/>
                <w:szCs w:val="40"/>
              </w:rPr>
            </w:pPr>
            <w:r w:rsidRPr="00373FE0">
              <w:rPr>
                <w:rFonts w:cs="Arial"/>
                <w:bCs/>
                <w:color w:val="0000FF"/>
                <w:sz w:val="40"/>
                <w:szCs w:val="40"/>
              </w:rPr>
              <w:t>Action</w:t>
            </w:r>
          </w:p>
          <w:p w:rsidR="00780528" w:rsidRPr="00D03B59" w:rsidRDefault="00780528" w:rsidP="00A62B6C">
            <w:pPr>
              <w:jc w:val="center"/>
              <w:rPr>
                <w:rFonts w:cs="Arial"/>
                <w:b/>
                <w:bCs/>
                <w:color w:val="0000FF"/>
                <w:sz w:val="18"/>
                <w:szCs w:val="18"/>
              </w:rPr>
            </w:pPr>
            <w:r w:rsidRPr="00373FE0">
              <w:rPr>
                <w:rFonts w:cs="Arial"/>
                <w:bCs/>
                <w:color w:val="0000FF"/>
                <w:sz w:val="40"/>
                <w:szCs w:val="40"/>
              </w:rPr>
              <w:t>Strategies</w:t>
            </w:r>
          </w:p>
        </w:tc>
        <w:tc>
          <w:tcPr>
            <w:tcW w:w="2568"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Quick, decisive action, fundamental change eg revise strategy, new or revised objectives to make the opportunity happen</w:t>
            </w:r>
          </w:p>
        </w:tc>
        <w:tc>
          <w:tcPr>
            <w:tcW w:w="1134" w:type="dxa"/>
            <w:shd w:val="clear" w:color="auto" w:fill="E0E0E0"/>
            <w:vAlign w:val="center"/>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Exploit</w:t>
            </w: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tc>
        <w:tc>
          <w:tcPr>
            <w:tcW w:w="708" w:type="dxa"/>
            <w:vMerge w:val="restart"/>
            <w:shd w:val="clear" w:color="auto" w:fill="C0C0C0"/>
            <w:textDirection w:val="tbRl"/>
          </w:tcPr>
          <w:p w:rsidR="00780528" w:rsidRPr="00373FE0" w:rsidRDefault="00373FE0" w:rsidP="00A62B6C">
            <w:pPr>
              <w:ind w:left="113" w:right="113"/>
              <w:jc w:val="center"/>
              <w:rPr>
                <w:rFonts w:cs="Arial"/>
                <w:bCs/>
                <w:color w:val="0000FF"/>
                <w:sz w:val="36"/>
                <w:szCs w:val="36"/>
              </w:rPr>
            </w:pPr>
            <w:r w:rsidRPr="00373FE0">
              <w:rPr>
                <w:rFonts w:cs="Arial"/>
                <w:color w:val="0000FF"/>
                <w:sz w:val="36"/>
                <w:szCs w:val="36"/>
              </w:rPr>
              <w:t>Opportunities</w:t>
            </w:r>
          </w:p>
        </w:tc>
      </w:tr>
      <w:tr w:rsidR="00373FE0" w:rsidRPr="00D03B59" w:rsidTr="00373FE0">
        <w:trPr>
          <w:cantSplit/>
        </w:trPr>
        <w:tc>
          <w:tcPr>
            <w:tcW w:w="710" w:type="dxa"/>
            <w:vMerge/>
            <w:shd w:val="clear" w:color="auto" w:fill="C0C0C0"/>
          </w:tcPr>
          <w:p w:rsidR="00780528" w:rsidRPr="00D03B59" w:rsidRDefault="00780528" w:rsidP="00A62B6C">
            <w:pPr>
              <w:jc w:val="center"/>
              <w:rPr>
                <w:rFonts w:cs="Arial"/>
                <w:b/>
                <w:bCs/>
                <w:color w:val="0000FF"/>
                <w:sz w:val="18"/>
                <w:szCs w:val="18"/>
              </w:rPr>
            </w:pPr>
          </w:p>
        </w:tc>
        <w:tc>
          <w:tcPr>
            <w:tcW w:w="1134" w:type="dxa"/>
            <w:shd w:val="clear" w:color="auto" w:fill="E0E0E0"/>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Transfer</w:t>
            </w:r>
          </w:p>
          <w:p w:rsidR="00780528" w:rsidRPr="00373FE0" w:rsidRDefault="00780528" w:rsidP="00A62B6C">
            <w:pPr>
              <w:jc w:val="center"/>
              <w:rPr>
                <w:rFonts w:cs="Arial"/>
                <w:b/>
                <w:bCs/>
                <w:color w:val="0000FF"/>
                <w:sz w:val="22"/>
                <w:szCs w:val="22"/>
              </w:rPr>
            </w:pPr>
          </w:p>
        </w:tc>
        <w:tc>
          <w:tcPr>
            <w:tcW w:w="2361"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Insure against the risk or transfer to a third party eg a contractor or partner who is better able to manage the risk</w:t>
            </w:r>
          </w:p>
        </w:tc>
        <w:tc>
          <w:tcPr>
            <w:tcW w:w="2017" w:type="dxa"/>
            <w:vMerge/>
            <w:shd w:val="clear" w:color="auto" w:fill="C0C0C0"/>
          </w:tcPr>
          <w:p w:rsidR="00780528" w:rsidRPr="00D03B59" w:rsidRDefault="00780528" w:rsidP="00A62B6C">
            <w:pPr>
              <w:jc w:val="center"/>
              <w:rPr>
                <w:rFonts w:cs="Arial"/>
                <w:b/>
                <w:bCs/>
                <w:color w:val="0000FF"/>
                <w:sz w:val="18"/>
                <w:szCs w:val="18"/>
              </w:rPr>
            </w:pPr>
          </w:p>
        </w:tc>
        <w:tc>
          <w:tcPr>
            <w:tcW w:w="2568"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 xml:space="preserve">Seek a third party best able to manage the opportunity </w:t>
            </w:r>
          </w:p>
        </w:tc>
        <w:tc>
          <w:tcPr>
            <w:tcW w:w="1134" w:type="dxa"/>
            <w:shd w:val="clear" w:color="auto" w:fill="E0E0E0"/>
            <w:vAlign w:val="center"/>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Share</w:t>
            </w: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tc>
        <w:tc>
          <w:tcPr>
            <w:tcW w:w="708" w:type="dxa"/>
            <w:vMerge/>
            <w:shd w:val="clear" w:color="auto" w:fill="C0C0C0"/>
          </w:tcPr>
          <w:p w:rsidR="00780528" w:rsidRPr="00D03B59" w:rsidRDefault="00780528" w:rsidP="00A62B6C">
            <w:pPr>
              <w:jc w:val="center"/>
              <w:rPr>
                <w:rFonts w:cs="Arial"/>
                <w:b/>
                <w:bCs/>
                <w:color w:val="0000FF"/>
                <w:sz w:val="18"/>
                <w:szCs w:val="18"/>
              </w:rPr>
            </w:pPr>
          </w:p>
        </w:tc>
      </w:tr>
      <w:tr w:rsidR="00373FE0" w:rsidRPr="00D03B59" w:rsidTr="00373FE0">
        <w:trPr>
          <w:cantSplit/>
          <w:trHeight w:val="2143"/>
        </w:trPr>
        <w:tc>
          <w:tcPr>
            <w:tcW w:w="710" w:type="dxa"/>
            <w:vMerge/>
            <w:shd w:val="clear" w:color="auto" w:fill="C0C0C0"/>
          </w:tcPr>
          <w:p w:rsidR="00780528" w:rsidRPr="00D03B59" w:rsidRDefault="00780528" w:rsidP="00A62B6C">
            <w:pPr>
              <w:jc w:val="center"/>
              <w:rPr>
                <w:rFonts w:cs="Arial"/>
                <w:b/>
                <w:bCs/>
                <w:color w:val="0000FF"/>
                <w:sz w:val="18"/>
                <w:szCs w:val="18"/>
              </w:rPr>
            </w:pPr>
          </w:p>
        </w:tc>
        <w:tc>
          <w:tcPr>
            <w:tcW w:w="1134" w:type="dxa"/>
            <w:shd w:val="clear" w:color="auto" w:fill="E0E0E0"/>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Reduce</w:t>
            </w: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tc>
        <w:tc>
          <w:tcPr>
            <w:tcW w:w="2361"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Plan actions that target the cause of the risk and/or reduce the potential impact</w:t>
            </w:r>
          </w:p>
        </w:tc>
        <w:tc>
          <w:tcPr>
            <w:tcW w:w="2017" w:type="dxa"/>
            <w:vMerge/>
            <w:shd w:val="clear" w:color="auto" w:fill="C0C0C0"/>
          </w:tcPr>
          <w:p w:rsidR="00780528" w:rsidRPr="00D03B59" w:rsidRDefault="00780528" w:rsidP="00A62B6C">
            <w:pPr>
              <w:jc w:val="center"/>
              <w:rPr>
                <w:rFonts w:cs="Arial"/>
                <w:b/>
                <w:bCs/>
                <w:color w:val="0000FF"/>
                <w:sz w:val="18"/>
                <w:szCs w:val="18"/>
              </w:rPr>
            </w:pPr>
          </w:p>
        </w:tc>
        <w:tc>
          <w:tcPr>
            <w:tcW w:w="2568"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Plan actions that increase the probability and/or consequence of the opportunity to maximise the benefit</w:t>
            </w:r>
          </w:p>
        </w:tc>
        <w:tc>
          <w:tcPr>
            <w:tcW w:w="1134" w:type="dxa"/>
            <w:shd w:val="clear" w:color="auto" w:fill="E0E0E0"/>
            <w:vAlign w:val="center"/>
          </w:tcPr>
          <w:p w:rsidR="00780528" w:rsidRPr="00373FE0" w:rsidRDefault="00780528" w:rsidP="00A62B6C">
            <w:pPr>
              <w:jc w:val="center"/>
              <w:rPr>
                <w:rFonts w:cs="Arial"/>
                <w:b/>
                <w:bCs/>
                <w:color w:val="0000FF"/>
                <w:sz w:val="22"/>
                <w:szCs w:val="22"/>
              </w:rPr>
            </w:pPr>
            <w:r w:rsidRPr="00373FE0">
              <w:rPr>
                <w:rFonts w:cs="Arial"/>
                <w:b/>
                <w:bCs/>
                <w:color w:val="0000FF"/>
                <w:sz w:val="22"/>
                <w:szCs w:val="22"/>
              </w:rPr>
              <w:t>Enhance</w:t>
            </w:r>
          </w:p>
        </w:tc>
        <w:tc>
          <w:tcPr>
            <w:tcW w:w="708" w:type="dxa"/>
            <w:vMerge/>
            <w:shd w:val="clear" w:color="auto" w:fill="C0C0C0"/>
          </w:tcPr>
          <w:p w:rsidR="00780528" w:rsidRPr="00D03B59" w:rsidRDefault="00780528" w:rsidP="00A62B6C">
            <w:pPr>
              <w:jc w:val="center"/>
              <w:rPr>
                <w:rFonts w:cs="Arial"/>
                <w:b/>
                <w:bCs/>
                <w:color w:val="0000FF"/>
                <w:sz w:val="18"/>
                <w:szCs w:val="18"/>
              </w:rPr>
            </w:pPr>
          </w:p>
        </w:tc>
      </w:tr>
      <w:tr w:rsidR="00373FE0" w:rsidRPr="00D03B59" w:rsidTr="00373FE0">
        <w:trPr>
          <w:cantSplit/>
          <w:trHeight w:val="2692"/>
        </w:trPr>
        <w:tc>
          <w:tcPr>
            <w:tcW w:w="710" w:type="dxa"/>
            <w:vMerge/>
            <w:shd w:val="clear" w:color="auto" w:fill="C0C0C0"/>
          </w:tcPr>
          <w:p w:rsidR="00780528" w:rsidRPr="00D03B59" w:rsidRDefault="00780528" w:rsidP="00A62B6C">
            <w:pPr>
              <w:jc w:val="center"/>
              <w:rPr>
                <w:rFonts w:cs="Arial"/>
                <w:b/>
                <w:bCs/>
                <w:color w:val="0000FF"/>
                <w:sz w:val="18"/>
                <w:szCs w:val="18"/>
              </w:rPr>
            </w:pPr>
          </w:p>
        </w:tc>
        <w:tc>
          <w:tcPr>
            <w:tcW w:w="1134" w:type="dxa"/>
            <w:shd w:val="clear" w:color="auto" w:fill="E0E0E0"/>
          </w:tcPr>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rPr>
                <w:rFonts w:cs="Arial"/>
                <w:b/>
                <w:bCs/>
                <w:color w:val="0000FF"/>
                <w:sz w:val="22"/>
                <w:szCs w:val="22"/>
              </w:rPr>
            </w:pP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r w:rsidRPr="00373FE0">
              <w:rPr>
                <w:rFonts w:cs="Arial"/>
                <w:b/>
                <w:bCs/>
                <w:color w:val="0000FF"/>
                <w:sz w:val="22"/>
                <w:szCs w:val="22"/>
              </w:rPr>
              <w:t>Accept</w:t>
            </w:r>
          </w:p>
          <w:p w:rsidR="00780528" w:rsidRPr="00373FE0" w:rsidRDefault="00780528" w:rsidP="00A62B6C">
            <w:pPr>
              <w:jc w:val="center"/>
              <w:rPr>
                <w:rFonts w:cs="Arial"/>
                <w:b/>
                <w:bCs/>
                <w:color w:val="0000FF"/>
                <w:sz w:val="22"/>
                <w:szCs w:val="22"/>
              </w:rPr>
            </w:pPr>
          </w:p>
          <w:p w:rsidR="00780528" w:rsidRPr="00373FE0" w:rsidRDefault="00780528" w:rsidP="00A62B6C">
            <w:pPr>
              <w:jc w:val="center"/>
              <w:rPr>
                <w:rFonts w:cs="Arial"/>
                <w:b/>
                <w:bCs/>
                <w:color w:val="0000FF"/>
                <w:sz w:val="22"/>
                <w:szCs w:val="22"/>
              </w:rPr>
            </w:pPr>
          </w:p>
        </w:tc>
        <w:tc>
          <w:tcPr>
            <w:tcW w:w="2361"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 xml:space="preserve">Where costs of action outweigh potential benefits or nothing further can be done to reduce the level of the threat.  </w:t>
            </w:r>
          </w:p>
        </w:tc>
        <w:tc>
          <w:tcPr>
            <w:tcW w:w="2017" w:type="dxa"/>
            <w:vMerge/>
            <w:shd w:val="clear" w:color="auto" w:fill="C0C0C0"/>
          </w:tcPr>
          <w:p w:rsidR="00780528" w:rsidRPr="00D03B59" w:rsidRDefault="00780528" w:rsidP="00A62B6C">
            <w:pPr>
              <w:jc w:val="center"/>
              <w:rPr>
                <w:rFonts w:cs="Arial"/>
                <w:b/>
                <w:bCs/>
                <w:color w:val="0000FF"/>
                <w:sz w:val="18"/>
                <w:szCs w:val="18"/>
              </w:rPr>
            </w:pPr>
          </w:p>
        </w:tc>
        <w:tc>
          <w:tcPr>
            <w:tcW w:w="2568" w:type="dxa"/>
            <w:vAlign w:val="center"/>
          </w:tcPr>
          <w:p w:rsidR="00780528" w:rsidRPr="00373FE0" w:rsidRDefault="00780528" w:rsidP="00A62B6C">
            <w:pPr>
              <w:jc w:val="center"/>
              <w:rPr>
                <w:rFonts w:cs="Arial"/>
                <w:b/>
                <w:bCs/>
                <w:color w:val="0000FF"/>
                <w:sz w:val="22"/>
                <w:szCs w:val="22"/>
              </w:rPr>
            </w:pPr>
            <w:r w:rsidRPr="00373FE0">
              <w:rPr>
                <w:rFonts w:cs="Arial"/>
                <w:color w:val="0000FF"/>
                <w:sz w:val="22"/>
                <w:szCs w:val="22"/>
              </w:rPr>
              <w:t xml:space="preserve">Where costs of action outweigh potential benefits.  </w:t>
            </w:r>
          </w:p>
        </w:tc>
        <w:tc>
          <w:tcPr>
            <w:tcW w:w="1134" w:type="dxa"/>
            <w:shd w:val="clear" w:color="auto" w:fill="E0E0E0"/>
            <w:vAlign w:val="center"/>
          </w:tcPr>
          <w:p w:rsidR="00780528" w:rsidRPr="00373FE0" w:rsidRDefault="00780528" w:rsidP="00A62B6C">
            <w:pPr>
              <w:jc w:val="center"/>
              <w:rPr>
                <w:rFonts w:cs="Arial"/>
                <w:b/>
                <w:bCs/>
                <w:color w:val="0000FF"/>
                <w:sz w:val="22"/>
                <w:szCs w:val="22"/>
              </w:rPr>
            </w:pPr>
            <w:r w:rsidRPr="00373FE0">
              <w:rPr>
                <w:rFonts w:cs="Arial"/>
                <w:b/>
                <w:bCs/>
                <w:color w:val="0000FF"/>
                <w:sz w:val="22"/>
                <w:szCs w:val="22"/>
              </w:rPr>
              <w:t>Ignore</w:t>
            </w:r>
          </w:p>
        </w:tc>
        <w:tc>
          <w:tcPr>
            <w:tcW w:w="708" w:type="dxa"/>
            <w:vMerge/>
            <w:shd w:val="clear" w:color="auto" w:fill="C0C0C0"/>
          </w:tcPr>
          <w:p w:rsidR="00780528" w:rsidRPr="00D03B59" w:rsidRDefault="00780528" w:rsidP="00A62B6C">
            <w:pPr>
              <w:jc w:val="center"/>
              <w:rPr>
                <w:rFonts w:cs="Arial"/>
                <w:b/>
                <w:bCs/>
                <w:color w:val="0000FF"/>
                <w:sz w:val="18"/>
                <w:szCs w:val="18"/>
              </w:rPr>
            </w:pPr>
          </w:p>
        </w:tc>
      </w:tr>
    </w:tbl>
    <w:p w:rsidR="0010251A" w:rsidRDefault="00780528">
      <w:pPr>
        <w:pStyle w:val="Heading2"/>
      </w:pPr>
      <w:r>
        <w:br w:type="page"/>
      </w:r>
      <w:r w:rsidR="0010251A">
        <w:lastRenderedPageBreak/>
        <w:t>RISK MANAGEMENT STRATEGY</w:t>
      </w:r>
      <w:r w:rsidR="0077078B">
        <w:t xml:space="preserve"> (</w:t>
      </w:r>
      <w:r w:rsidR="000B5E9E">
        <w:t xml:space="preserve">March </w:t>
      </w:r>
      <w:r w:rsidR="0077078B">
        <w:t>201</w:t>
      </w:r>
      <w:r w:rsidR="000B5E9E">
        <w:t>5</w:t>
      </w:r>
      <w:r w:rsidR="0077078B">
        <w:t>)</w:t>
      </w:r>
    </w:p>
    <w:p w:rsidR="0010251A" w:rsidRDefault="0010251A">
      <w:pPr>
        <w:rPr>
          <w:snapToGrid w:val="0"/>
        </w:rPr>
      </w:pPr>
    </w:p>
    <w:p w:rsidR="0010251A" w:rsidRDefault="0010251A">
      <w:pPr>
        <w:pStyle w:val="Heading1"/>
        <w:rPr>
          <w:sz w:val="22"/>
        </w:rPr>
      </w:pPr>
      <w:r>
        <w:rPr>
          <w:sz w:val="22"/>
        </w:rPr>
        <w:t>Introduction</w:t>
      </w:r>
    </w:p>
    <w:p w:rsidR="0010251A" w:rsidRDefault="0010251A"/>
    <w:p w:rsidR="0010251A" w:rsidRDefault="0010251A">
      <w:r>
        <w:t>This strategy should be read in conjunction with the Council’s Risk Management Policy.  The Risk Management Policy describes the Council’s approach to risk, this strategy describes how that policy will be put into practice and performance measured and evaluated.</w:t>
      </w:r>
    </w:p>
    <w:p w:rsidR="0010251A" w:rsidRDefault="0010251A"/>
    <w:p w:rsidR="0010251A" w:rsidRDefault="0010251A">
      <w:r>
        <w:t>This strategy is owned by the Corporate Risk Management Group</w:t>
      </w:r>
      <w:r w:rsidR="00430679">
        <w:t xml:space="preserve"> (CRMG)</w:t>
      </w:r>
      <w:r>
        <w:t xml:space="preserve"> and will be reviewed at least annually by that group.  </w:t>
      </w:r>
      <w:r w:rsidR="005A7482">
        <w:t xml:space="preserve">Senior </w:t>
      </w:r>
      <w:r>
        <w:t xml:space="preserve">Management Team and Resources Overview and Scrutiny </w:t>
      </w:r>
      <w:r w:rsidR="00C94A41">
        <w:t>Panel</w:t>
      </w:r>
      <w:r>
        <w:t xml:space="preserve"> will be consulted about any proposed changes following a review of the strategy.</w:t>
      </w:r>
    </w:p>
    <w:p w:rsidR="0010251A" w:rsidRDefault="0010251A"/>
    <w:p w:rsidR="0010251A" w:rsidRDefault="00430679">
      <w:r>
        <w:t>CRMG</w:t>
      </w:r>
      <w:r w:rsidR="0010251A">
        <w:t xml:space="preserve"> will monitor delivery of the Strategy.  The group will produce </w:t>
      </w:r>
      <w:r w:rsidR="000B5E9E">
        <w:t>three</w:t>
      </w:r>
      <w:r w:rsidR="0010251A">
        <w:t xml:space="preserve">-monthly reports for consideration by </w:t>
      </w:r>
      <w:r w:rsidR="009753F4">
        <w:t xml:space="preserve">Senior </w:t>
      </w:r>
      <w:r w:rsidR="0010251A">
        <w:t xml:space="preserve">Management Team and </w:t>
      </w:r>
      <w:r w:rsidR="000B5E9E">
        <w:t xml:space="preserve">six monthly </w:t>
      </w:r>
      <w:r w:rsidR="005C3F29">
        <w:t xml:space="preserve">reports to </w:t>
      </w:r>
      <w:r w:rsidR="0010251A">
        <w:t xml:space="preserve">Resources Overview and Scrutiny </w:t>
      </w:r>
      <w:r w:rsidR="00C94A41">
        <w:t>Panel</w:t>
      </w:r>
      <w:r w:rsidR="0010251A">
        <w:t>.</w:t>
      </w:r>
    </w:p>
    <w:p w:rsidR="0010251A" w:rsidRDefault="0010251A">
      <w:pPr>
        <w:rPr>
          <w:snapToGrid w:val="0"/>
        </w:rPr>
      </w:pPr>
    </w:p>
    <w:p w:rsidR="0010251A" w:rsidRDefault="0010251A">
      <w:pPr>
        <w:rPr>
          <w:snapToGrid w:val="0"/>
        </w:rPr>
      </w:pPr>
      <w:r>
        <w:rPr>
          <w:snapToGrid w:val="0"/>
        </w:rPr>
        <w:t>Definitions of risk and the importance of Risk Management are described in the Risk Management Policy.</w:t>
      </w:r>
    </w:p>
    <w:p w:rsidR="0010251A" w:rsidRDefault="0010251A">
      <w:pPr>
        <w:rPr>
          <w:snapToGrid w:val="0"/>
        </w:rPr>
      </w:pPr>
    </w:p>
    <w:p w:rsidR="0010251A" w:rsidRDefault="0010251A">
      <w:pPr>
        <w:pStyle w:val="Heading1"/>
        <w:rPr>
          <w:sz w:val="22"/>
        </w:rPr>
      </w:pPr>
      <w:r>
        <w:rPr>
          <w:sz w:val="22"/>
        </w:rPr>
        <w:t>Aim of the Strategy</w:t>
      </w:r>
    </w:p>
    <w:p w:rsidR="0010251A" w:rsidRDefault="0010251A">
      <w:pPr>
        <w:rPr>
          <w:snapToGrid w:val="0"/>
        </w:rPr>
      </w:pPr>
    </w:p>
    <w:p w:rsidR="0010251A" w:rsidRDefault="0010251A">
      <w:pPr>
        <w:rPr>
          <w:snapToGrid w:val="0"/>
        </w:rPr>
      </w:pPr>
      <w:r>
        <w:rPr>
          <w:snapToGrid w:val="0"/>
        </w:rPr>
        <w:t>To establish sustainable and efficient risk management arrangements to effectively identify, assess and control the major risks to the Council’s objectives.</w:t>
      </w:r>
    </w:p>
    <w:p w:rsidR="0010251A" w:rsidRDefault="0010251A">
      <w:pPr>
        <w:rPr>
          <w:snapToGrid w:val="0"/>
        </w:rPr>
      </w:pPr>
    </w:p>
    <w:p w:rsidR="00187E1F" w:rsidRDefault="00187E1F" w:rsidP="00187E1F">
      <w:pPr>
        <w:rPr>
          <w:b/>
          <w:snapToGrid w:val="0"/>
        </w:rPr>
      </w:pPr>
      <w:r>
        <w:rPr>
          <w:b/>
          <w:snapToGrid w:val="0"/>
        </w:rPr>
        <w:t>Objectives of the Strategy</w:t>
      </w:r>
    </w:p>
    <w:p w:rsidR="00187E1F" w:rsidRDefault="00187E1F" w:rsidP="00187E1F">
      <w:pPr>
        <w:pStyle w:val="Subtitle"/>
        <w:jc w:val="left"/>
        <w:rPr>
          <w:b w:val="0"/>
          <w:sz w:val="24"/>
          <w:szCs w:val="24"/>
        </w:rPr>
      </w:pPr>
    </w:p>
    <w:p w:rsidR="00187E1F" w:rsidRDefault="00187E1F" w:rsidP="00187E1F">
      <w:pPr>
        <w:numPr>
          <w:ilvl w:val="0"/>
          <w:numId w:val="18"/>
        </w:numPr>
        <w:spacing w:line="240" w:lineRule="auto"/>
      </w:pPr>
      <w:r>
        <w:t>Ensure appropriate risk taking is encouraged, particularly to respond to opportunities arising.</w:t>
      </w:r>
    </w:p>
    <w:p w:rsidR="00187E1F" w:rsidRDefault="00187E1F" w:rsidP="00187E1F">
      <w:pPr>
        <w:numPr>
          <w:ilvl w:val="0"/>
          <w:numId w:val="18"/>
        </w:numPr>
        <w:spacing w:line="240" w:lineRule="auto"/>
      </w:pPr>
      <w:r>
        <w:t xml:space="preserve">Anticipate and respond to changing social, environmental and legislative needs, </w:t>
      </w:r>
      <w:r w:rsidRPr="00A26638">
        <w:t>pressures or constraints,</w:t>
      </w:r>
      <w:r>
        <w:t xml:space="preserve"> as well as changes in the internal environment</w:t>
      </w:r>
      <w:r w:rsidR="00A62B6C">
        <w:t>.</w:t>
      </w:r>
    </w:p>
    <w:p w:rsidR="00187E1F" w:rsidRDefault="00187E1F" w:rsidP="00187E1F">
      <w:pPr>
        <w:numPr>
          <w:ilvl w:val="0"/>
          <w:numId w:val="18"/>
        </w:numPr>
        <w:spacing w:line="240" w:lineRule="auto"/>
      </w:pPr>
      <w:r>
        <w:t xml:space="preserve">Manage risk in accordance with best practice </w:t>
      </w:r>
      <w:r w:rsidRPr="008A22F6">
        <w:t xml:space="preserve">including integration with performance and financial management </w:t>
      </w:r>
      <w:r w:rsidRPr="002101B3">
        <w:t>including partnership arrangements.</w:t>
      </w:r>
    </w:p>
    <w:p w:rsidR="00187E1F" w:rsidRPr="008A22F6" w:rsidRDefault="00187E1F" w:rsidP="00187E1F">
      <w:pPr>
        <w:numPr>
          <w:ilvl w:val="0"/>
          <w:numId w:val="18"/>
        </w:numPr>
        <w:spacing w:line="240" w:lineRule="auto"/>
      </w:pPr>
      <w:r w:rsidRPr="008A22F6">
        <w:t>I</w:t>
      </w:r>
      <w:smartTag w:uri="urn:schemas-microsoft-com:office:smarttags" w:element="PersonName">
        <w:r w:rsidRPr="008A22F6">
          <w:t>mp</w:t>
        </w:r>
      </w:smartTag>
      <w:r w:rsidRPr="008A22F6">
        <w:t>rove performance and efficiency and in particular minimise injury, damage and losses and make effective use of resources.</w:t>
      </w:r>
    </w:p>
    <w:p w:rsidR="00187E1F" w:rsidRPr="00D03B59" w:rsidRDefault="00187E1F" w:rsidP="00187E1F">
      <w:pPr>
        <w:numPr>
          <w:ilvl w:val="0"/>
          <w:numId w:val="18"/>
        </w:numPr>
        <w:spacing w:line="240" w:lineRule="auto"/>
      </w:pPr>
      <w:r w:rsidRPr="008A22F6">
        <w:t>Protect the Council’s assets, reputation and operational capacity</w:t>
      </w:r>
      <w:r>
        <w:t>.</w:t>
      </w:r>
    </w:p>
    <w:p w:rsidR="00187E1F" w:rsidRPr="00C94A41" w:rsidRDefault="00187E1F" w:rsidP="00187E1F">
      <w:pPr>
        <w:pStyle w:val="Subtitle"/>
        <w:numPr>
          <w:ilvl w:val="0"/>
          <w:numId w:val="13"/>
        </w:numPr>
        <w:spacing w:before="120"/>
        <w:jc w:val="left"/>
        <w:rPr>
          <w:b w:val="0"/>
          <w:sz w:val="24"/>
          <w:szCs w:val="24"/>
        </w:rPr>
      </w:pPr>
      <w:r w:rsidRPr="00C94A41">
        <w:rPr>
          <w:b w:val="0"/>
          <w:sz w:val="24"/>
          <w:szCs w:val="24"/>
        </w:rPr>
        <w:t>Maintain existing control over harm and loss risks.</w:t>
      </w:r>
    </w:p>
    <w:p w:rsidR="00187E1F" w:rsidRPr="00C94A41" w:rsidRDefault="00187E1F" w:rsidP="00187E1F">
      <w:pPr>
        <w:pStyle w:val="Subtitle"/>
        <w:numPr>
          <w:ilvl w:val="0"/>
          <w:numId w:val="13"/>
        </w:numPr>
        <w:spacing w:before="120"/>
        <w:jc w:val="left"/>
        <w:rPr>
          <w:b w:val="0"/>
          <w:sz w:val="24"/>
          <w:szCs w:val="24"/>
        </w:rPr>
      </w:pPr>
      <w:r w:rsidRPr="00C94A41">
        <w:rPr>
          <w:b w:val="0"/>
          <w:sz w:val="24"/>
          <w:szCs w:val="24"/>
        </w:rPr>
        <w:t>Establish arrangements that ensure that the Council’s leaders (managers and members) know what major risks the Council faces and what is being done to address them.</w:t>
      </w:r>
    </w:p>
    <w:p w:rsidR="00187E1F" w:rsidRPr="00C94A41" w:rsidRDefault="00187E1F" w:rsidP="00187E1F">
      <w:pPr>
        <w:pStyle w:val="Subtitle"/>
        <w:numPr>
          <w:ilvl w:val="0"/>
          <w:numId w:val="13"/>
        </w:numPr>
        <w:spacing w:before="120"/>
        <w:jc w:val="left"/>
        <w:rPr>
          <w:b w:val="0"/>
          <w:sz w:val="24"/>
          <w:szCs w:val="24"/>
        </w:rPr>
      </w:pPr>
      <w:r w:rsidRPr="00C94A41">
        <w:rPr>
          <w:b w:val="0"/>
          <w:sz w:val="24"/>
          <w:szCs w:val="24"/>
        </w:rPr>
        <w:t xml:space="preserve">Embed risk management into the Council’s </w:t>
      </w:r>
      <w:r>
        <w:rPr>
          <w:b w:val="0"/>
          <w:sz w:val="24"/>
          <w:szCs w:val="24"/>
        </w:rPr>
        <w:t xml:space="preserve">culture and </w:t>
      </w:r>
      <w:r w:rsidRPr="00C94A41">
        <w:rPr>
          <w:b w:val="0"/>
          <w:sz w:val="24"/>
          <w:szCs w:val="24"/>
        </w:rPr>
        <w:t>management processes.</w:t>
      </w:r>
    </w:p>
    <w:p w:rsidR="00187E1F" w:rsidRPr="00C94A41" w:rsidRDefault="00187E1F" w:rsidP="00187E1F">
      <w:pPr>
        <w:pStyle w:val="Subtitle"/>
        <w:numPr>
          <w:ilvl w:val="0"/>
          <w:numId w:val="13"/>
        </w:numPr>
        <w:spacing w:before="120"/>
        <w:jc w:val="left"/>
        <w:rPr>
          <w:b w:val="0"/>
          <w:sz w:val="24"/>
          <w:szCs w:val="24"/>
        </w:rPr>
      </w:pPr>
      <w:r w:rsidRPr="00C94A41">
        <w:rPr>
          <w:b w:val="0"/>
          <w:sz w:val="24"/>
          <w:szCs w:val="24"/>
        </w:rPr>
        <w:lastRenderedPageBreak/>
        <w:t>Ensure that all managers in the organisation understand their responsibilities for risk management, and how to meet them.</w:t>
      </w:r>
    </w:p>
    <w:p w:rsidR="00187E1F" w:rsidRDefault="00187E1F" w:rsidP="00187E1F">
      <w:pPr>
        <w:pStyle w:val="Subtitle"/>
        <w:spacing w:before="120"/>
        <w:jc w:val="left"/>
        <w:rPr>
          <w:b w:val="0"/>
          <w:sz w:val="22"/>
        </w:rPr>
      </w:pPr>
    </w:p>
    <w:p w:rsidR="00187E1F" w:rsidRDefault="00187E1F" w:rsidP="00187E1F">
      <w:pPr>
        <w:rPr>
          <w:b/>
          <w:snapToGrid w:val="0"/>
        </w:rPr>
      </w:pPr>
      <w:r>
        <w:rPr>
          <w:b/>
          <w:snapToGrid w:val="0"/>
        </w:rPr>
        <w:t>Critical Success Factors:</w:t>
      </w:r>
    </w:p>
    <w:p w:rsidR="00187E1F" w:rsidRDefault="00187E1F" w:rsidP="00187E1F">
      <w:pPr>
        <w:rPr>
          <w:snapToGrid w:val="0"/>
        </w:rPr>
      </w:pPr>
    </w:p>
    <w:p w:rsidR="00187E1F" w:rsidRDefault="00187E1F" w:rsidP="00187E1F">
      <w:pPr>
        <w:rPr>
          <w:snapToGrid w:val="0"/>
        </w:rPr>
      </w:pPr>
      <w:r>
        <w:rPr>
          <w:snapToGrid w:val="0"/>
        </w:rPr>
        <w:t>We need to develop arrangements that:</w:t>
      </w:r>
    </w:p>
    <w:p w:rsidR="00187E1F" w:rsidRDefault="00187E1F" w:rsidP="00187E1F">
      <w:pPr>
        <w:numPr>
          <w:ilvl w:val="0"/>
          <w:numId w:val="14"/>
        </w:numPr>
        <w:spacing w:before="120"/>
        <w:rPr>
          <w:snapToGrid w:val="0"/>
        </w:rPr>
      </w:pPr>
      <w:r>
        <w:rPr>
          <w:snapToGrid w:val="0"/>
        </w:rPr>
        <w:t>Consider risk in all the Council’s key planning processes</w:t>
      </w:r>
    </w:p>
    <w:p w:rsidR="00187E1F" w:rsidRDefault="00187E1F" w:rsidP="00187E1F">
      <w:pPr>
        <w:numPr>
          <w:ilvl w:val="0"/>
          <w:numId w:val="14"/>
        </w:numPr>
        <w:spacing w:before="120"/>
        <w:rPr>
          <w:snapToGrid w:val="0"/>
        </w:rPr>
      </w:pPr>
      <w:r>
        <w:rPr>
          <w:snapToGrid w:val="0"/>
        </w:rPr>
        <w:t>Raise awareness of the need for risk management by all those connected with the Council’s delivery of services</w:t>
      </w:r>
    </w:p>
    <w:p w:rsidR="00187E1F" w:rsidRDefault="00187E1F" w:rsidP="00187E1F">
      <w:pPr>
        <w:numPr>
          <w:ilvl w:val="0"/>
          <w:numId w:val="14"/>
        </w:numPr>
        <w:spacing w:line="240" w:lineRule="auto"/>
      </w:pPr>
      <w:r>
        <w:t xml:space="preserve">Ensure risk management is explicitly considered in all decision making by, incorporating links to all key decision points e.g. committee reports, delegated decisions, project </w:t>
      </w:r>
      <w:r w:rsidRPr="008A22F6">
        <w:t>manage</w:t>
      </w:r>
      <w:r>
        <w:t>ment, shared arrangements and partnership agreements</w:t>
      </w:r>
    </w:p>
    <w:p w:rsidR="00187E1F" w:rsidRDefault="00187E1F" w:rsidP="00187E1F">
      <w:pPr>
        <w:numPr>
          <w:ilvl w:val="0"/>
          <w:numId w:val="14"/>
        </w:numPr>
        <w:spacing w:before="120"/>
        <w:rPr>
          <w:snapToGrid w:val="0"/>
        </w:rPr>
      </w:pPr>
      <w:r>
        <w:rPr>
          <w:snapToGrid w:val="0"/>
        </w:rPr>
        <w:t>Provide a clear picture of the major risks the Council faces in the delivery of it’s key strategies and plans, establishing the nature, likelihood and potential impact of each major risks</w:t>
      </w:r>
    </w:p>
    <w:p w:rsidR="00187E1F" w:rsidRDefault="00187E1F" w:rsidP="00187E1F">
      <w:pPr>
        <w:numPr>
          <w:ilvl w:val="0"/>
          <w:numId w:val="14"/>
        </w:numPr>
        <w:spacing w:before="120"/>
        <w:rPr>
          <w:snapToGrid w:val="0"/>
        </w:rPr>
      </w:pPr>
      <w:r>
        <w:rPr>
          <w:snapToGrid w:val="0"/>
        </w:rPr>
        <w:t>Establish a shared and unambiguous understanding of what risks will be tolerated</w:t>
      </w:r>
    </w:p>
    <w:p w:rsidR="00187E1F" w:rsidRDefault="00187E1F" w:rsidP="00187E1F">
      <w:pPr>
        <w:numPr>
          <w:ilvl w:val="0"/>
          <w:numId w:val="14"/>
        </w:numPr>
        <w:spacing w:before="120"/>
        <w:rPr>
          <w:snapToGrid w:val="0"/>
        </w:rPr>
      </w:pPr>
      <w:r>
        <w:rPr>
          <w:snapToGrid w:val="0"/>
        </w:rPr>
        <w:t>Develop an awareness of our ability to control the risks we have identified</w:t>
      </w:r>
    </w:p>
    <w:p w:rsidR="00187E1F" w:rsidRDefault="00187E1F" w:rsidP="00187E1F">
      <w:pPr>
        <w:numPr>
          <w:ilvl w:val="0"/>
          <w:numId w:val="14"/>
        </w:numPr>
        <w:spacing w:before="120"/>
        <w:rPr>
          <w:snapToGrid w:val="0"/>
        </w:rPr>
      </w:pPr>
      <w:r>
        <w:t>Clarify, establish and maintain clear roles, responsibilities and reporting lines within the Council for risk management</w:t>
      </w:r>
    </w:p>
    <w:p w:rsidR="00187E1F" w:rsidRPr="00C10595" w:rsidRDefault="00187E1F" w:rsidP="00187E1F">
      <w:pPr>
        <w:numPr>
          <w:ilvl w:val="0"/>
          <w:numId w:val="14"/>
        </w:numPr>
        <w:spacing w:before="120"/>
        <w:rPr>
          <w:snapToGrid w:val="0"/>
        </w:rPr>
      </w:pPr>
      <w:r>
        <w:t xml:space="preserve">Enable and empower managers to manage those risks in their area of responsibility within a consistent framework that includes </w:t>
      </w:r>
      <w:r>
        <w:rPr>
          <w:snapToGrid w:val="0"/>
        </w:rPr>
        <w:t>regular risk monitoring and a review of the effectiveness of internal control</w:t>
      </w:r>
    </w:p>
    <w:p w:rsidR="00187E1F" w:rsidRDefault="00187E1F" w:rsidP="00187E1F">
      <w:pPr>
        <w:numPr>
          <w:ilvl w:val="0"/>
          <w:numId w:val="14"/>
        </w:numPr>
        <w:spacing w:before="120"/>
        <w:rPr>
          <w:snapToGrid w:val="0"/>
        </w:rPr>
      </w:pPr>
      <w:r>
        <w:rPr>
          <w:snapToGrid w:val="0"/>
        </w:rPr>
        <w:t>Ensure arrangements are non-bureaucratic, cost efficient and sustainable</w:t>
      </w:r>
    </w:p>
    <w:p w:rsidR="00187E1F" w:rsidRDefault="00187E1F" w:rsidP="00187E1F">
      <w:pPr>
        <w:numPr>
          <w:ilvl w:val="0"/>
          <w:numId w:val="14"/>
        </w:numPr>
        <w:spacing w:before="120"/>
        <w:rPr>
          <w:snapToGrid w:val="0"/>
        </w:rPr>
      </w:pPr>
      <w:r>
        <w:rPr>
          <w:snapToGrid w:val="0"/>
        </w:rPr>
        <w:t>Understand and proactively manage external risks to the objectives of the organisation</w:t>
      </w:r>
    </w:p>
    <w:p w:rsidR="00187E1F" w:rsidRDefault="00187E1F" w:rsidP="00187E1F">
      <w:pPr>
        <w:numPr>
          <w:ilvl w:val="0"/>
          <w:numId w:val="14"/>
        </w:numPr>
        <w:spacing w:before="120"/>
        <w:rPr>
          <w:snapToGrid w:val="0"/>
        </w:rPr>
      </w:pPr>
      <w:r>
        <w:rPr>
          <w:snapToGrid w:val="0"/>
        </w:rPr>
        <w:t>Provide opportunities for shared risk learning on risk management across the Council and with key partners</w:t>
      </w:r>
    </w:p>
    <w:p w:rsidR="0010251A" w:rsidRDefault="0010251A">
      <w:pPr>
        <w:rPr>
          <w:snapToGrid w:val="0"/>
        </w:rPr>
      </w:pPr>
    </w:p>
    <w:p w:rsidR="0010251A" w:rsidRPr="00187E1F" w:rsidRDefault="0010251A">
      <w:pPr>
        <w:pStyle w:val="Heading3"/>
        <w:rPr>
          <w:b/>
        </w:rPr>
      </w:pPr>
      <w:r w:rsidRPr="00187E1F">
        <w:rPr>
          <w:b/>
        </w:rPr>
        <w:t>The Strategy - What We Are Going To Do</w:t>
      </w:r>
    </w:p>
    <w:p w:rsidR="0010251A" w:rsidRDefault="0010251A">
      <w:pPr>
        <w:rPr>
          <w:snapToGrid w:val="0"/>
        </w:rPr>
      </w:pPr>
    </w:p>
    <w:p w:rsidR="0010251A" w:rsidRDefault="0010251A">
      <w:pPr>
        <w:rPr>
          <w:snapToGrid w:val="0"/>
        </w:rPr>
      </w:pPr>
      <w:r>
        <w:rPr>
          <w:b/>
          <w:snapToGrid w:val="0"/>
        </w:rPr>
        <w:t>Review the Corporate Risk Register.</w:t>
      </w:r>
      <w:r>
        <w:rPr>
          <w:snapToGrid w:val="0"/>
        </w:rPr>
        <w:t xml:space="preserve">  The Corporate Risk Register </w:t>
      </w:r>
      <w:r w:rsidR="00847F5D">
        <w:rPr>
          <w:snapToGrid w:val="0"/>
        </w:rPr>
        <w:t>is reviewed on an</w:t>
      </w:r>
      <w:r>
        <w:rPr>
          <w:snapToGrid w:val="0"/>
        </w:rPr>
        <w:t xml:space="preserve"> ongoing basis in the light of new and emerging risks to the organisation.</w:t>
      </w:r>
    </w:p>
    <w:p w:rsidR="0010251A" w:rsidRDefault="0010251A">
      <w:pPr>
        <w:rPr>
          <w:snapToGrid w:val="0"/>
        </w:rPr>
      </w:pPr>
    </w:p>
    <w:p w:rsidR="0010251A" w:rsidRDefault="0010251A">
      <w:pPr>
        <w:rPr>
          <w:snapToGrid w:val="0"/>
        </w:rPr>
      </w:pPr>
      <w:r>
        <w:rPr>
          <w:snapToGrid w:val="0"/>
        </w:rPr>
        <w:t>The Corporate Risk Register must reflect the Corporate Plan.  The most important risks to the Council are those which may affect the delivery of corporate objectives.</w:t>
      </w:r>
    </w:p>
    <w:p w:rsidR="0010251A" w:rsidRDefault="0010251A">
      <w:pPr>
        <w:rPr>
          <w:snapToGrid w:val="0"/>
        </w:rPr>
      </w:pPr>
    </w:p>
    <w:p w:rsidR="0010251A" w:rsidRDefault="00430679">
      <w:pPr>
        <w:rPr>
          <w:snapToGrid w:val="0"/>
        </w:rPr>
      </w:pPr>
      <w:r>
        <w:rPr>
          <w:snapToGrid w:val="0"/>
        </w:rPr>
        <w:t>CRMG</w:t>
      </w:r>
      <w:r w:rsidR="0010251A">
        <w:rPr>
          <w:snapToGrid w:val="0"/>
        </w:rPr>
        <w:t xml:space="preserve"> will co-ordinate the update of the Corporate Risk Register.  </w:t>
      </w:r>
      <w:r w:rsidR="00847F5D">
        <w:rPr>
          <w:snapToGrid w:val="0"/>
        </w:rPr>
        <w:t xml:space="preserve">Senior </w:t>
      </w:r>
      <w:r w:rsidR="0010251A">
        <w:rPr>
          <w:snapToGrid w:val="0"/>
        </w:rPr>
        <w:t xml:space="preserve">Management Team will </w:t>
      </w:r>
      <w:proofErr w:type="gramStart"/>
      <w:r w:rsidR="0010251A">
        <w:rPr>
          <w:snapToGrid w:val="0"/>
        </w:rPr>
        <w:t>quality assure</w:t>
      </w:r>
      <w:proofErr w:type="gramEnd"/>
      <w:r w:rsidR="0010251A">
        <w:rPr>
          <w:snapToGrid w:val="0"/>
        </w:rPr>
        <w:t xml:space="preserve"> the document by ensuring that all relevant risks are identified, evaluated and have a plan for their management.</w:t>
      </w:r>
    </w:p>
    <w:p w:rsidR="0010251A" w:rsidRDefault="0010251A">
      <w:pPr>
        <w:rPr>
          <w:snapToGrid w:val="0"/>
        </w:rPr>
      </w:pPr>
    </w:p>
    <w:p w:rsidR="0010251A" w:rsidRDefault="00847F5D">
      <w:pPr>
        <w:rPr>
          <w:snapToGrid w:val="0"/>
        </w:rPr>
      </w:pPr>
      <w:r>
        <w:rPr>
          <w:snapToGrid w:val="0"/>
        </w:rPr>
        <w:t>Service</w:t>
      </w:r>
      <w:r w:rsidR="0010251A">
        <w:rPr>
          <w:snapToGrid w:val="0"/>
        </w:rPr>
        <w:t xml:space="preserve"> </w:t>
      </w:r>
      <w:r w:rsidR="009753F4">
        <w:rPr>
          <w:snapToGrid w:val="0"/>
        </w:rPr>
        <w:t>Managers</w:t>
      </w:r>
      <w:r w:rsidR="0010251A">
        <w:rPr>
          <w:snapToGrid w:val="0"/>
        </w:rPr>
        <w:t xml:space="preserve"> are responsible for ensuring that relevant risks are addressed in their </w:t>
      </w:r>
      <w:r w:rsidR="009753F4">
        <w:rPr>
          <w:snapToGrid w:val="0"/>
        </w:rPr>
        <w:t xml:space="preserve">Service </w:t>
      </w:r>
      <w:r w:rsidR="0010251A">
        <w:rPr>
          <w:snapToGrid w:val="0"/>
        </w:rPr>
        <w:t>Plans</w:t>
      </w:r>
      <w:r>
        <w:rPr>
          <w:snapToGrid w:val="0"/>
        </w:rPr>
        <w:t xml:space="preserve"> and in the day to day operations of their </w:t>
      </w:r>
      <w:r w:rsidR="009753F4">
        <w:rPr>
          <w:snapToGrid w:val="0"/>
        </w:rPr>
        <w:t>services</w:t>
      </w:r>
      <w:r w:rsidR="0010251A">
        <w:rPr>
          <w:snapToGrid w:val="0"/>
        </w:rPr>
        <w:t>.  This will ensure that the actions necessary for reducing corporate risks are resourced and planned for in an integrated way.</w:t>
      </w:r>
      <w:r w:rsidR="00CE52E4">
        <w:rPr>
          <w:snapToGrid w:val="0"/>
        </w:rPr>
        <w:t xml:space="preserve">  Operational Risk Registers will be reviewed </w:t>
      </w:r>
      <w:r w:rsidR="009753F4">
        <w:rPr>
          <w:snapToGrid w:val="0"/>
        </w:rPr>
        <w:t>every 3 months</w:t>
      </w:r>
      <w:r w:rsidR="00CE52E4">
        <w:rPr>
          <w:snapToGrid w:val="0"/>
        </w:rPr>
        <w:t xml:space="preserve"> and </w:t>
      </w:r>
      <w:r w:rsidR="00B3498F">
        <w:rPr>
          <w:snapToGrid w:val="0"/>
        </w:rPr>
        <w:t>CRMG</w:t>
      </w:r>
      <w:r w:rsidR="00CE52E4">
        <w:rPr>
          <w:snapToGrid w:val="0"/>
        </w:rPr>
        <w:t xml:space="preserve"> notified of </w:t>
      </w:r>
      <w:r w:rsidR="0071164E">
        <w:rPr>
          <w:snapToGrid w:val="0"/>
        </w:rPr>
        <w:t>new or escalating risks that are within the red zone on risk heat map</w:t>
      </w:r>
      <w:r w:rsidR="0077078B">
        <w:rPr>
          <w:snapToGrid w:val="0"/>
        </w:rPr>
        <w:t>.</w:t>
      </w:r>
    </w:p>
    <w:p w:rsidR="0010251A" w:rsidRDefault="0010251A">
      <w:pPr>
        <w:rPr>
          <w:snapToGrid w:val="0"/>
        </w:rPr>
      </w:pPr>
    </w:p>
    <w:p w:rsidR="00CE52E4" w:rsidRDefault="00847F5D">
      <w:pPr>
        <w:rPr>
          <w:snapToGrid w:val="0"/>
        </w:rPr>
      </w:pPr>
      <w:r>
        <w:rPr>
          <w:snapToGrid w:val="0"/>
        </w:rPr>
        <w:t>T</w:t>
      </w:r>
      <w:r w:rsidR="0010251A">
        <w:rPr>
          <w:snapToGrid w:val="0"/>
        </w:rPr>
        <w:t xml:space="preserve">he Corporate Risk Register will be reviewed at each meeting of the Corporate Risk Management Group.  Significant changes to the Corporate Risk Register (either in the form of new risks or the status of existing risks) will be reported to members via the </w:t>
      </w:r>
      <w:r w:rsidR="00D84BEA">
        <w:rPr>
          <w:snapToGrid w:val="0"/>
        </w:rPr>
        <w:t>annual</w:t>
      </w:r>
      <w:r w:rsidR="0010251A">
        <w:rPr>
          <w:snapToGrid w:val="0"/>
        </w:rPr>
        <w:t xml:space="preserve"> report to Resources Overview and Scrutiny </w:t>
      </w:r>
      <w:r w:rsidR="00C94A41">
        <w:rPr>
          <w:snapToGrid w:val="0"/>
        </w:rPr>
        <w:t>Panel</w:t>
      </w:r>
      <w:r w:rsidR="0010251A">
        <w:rPr>
          <w:snapToGrid w:val="0"/>
        </w:rPr>
        <w:t xml:space="preserve"> described elsewhere in this strategy.</w:t>
      </w:r>
    </w:p>
    <w:p w:rsidR="0010251A" w:rsidRDefault="0010251A">
      <w:pPr>
        <w:rPr>
          <w:snapToGrid w:val="0"/>
        </w:rPr>
      </w:pPr>
    </w:p>
    <w:p w:rsidR="0010251A" w:rsidRDefault="0010251A">
      <w:pPr>
        <w:rPr>
          <w:snapToGrid w:val="0"/>
        </w:rPr>
      </w:pPr>
      <w:r>
        <w:rPr>
          <w:b/>
          <w:snapToGrid w:val="0"/>
        </w:rPr>
        <w:t xml:space="preserve">Produce Regular Performance Reports </w:t>
      </w:r>
      <w:r w:rsidR="004226D2">
        <w:rPr>
          <w:b/>
          <w:snapToGrid w:val="0"/>
        </w:rPr>
        <w:t>for Resources</w:t>
      </w:r>
      <w:r>
        <w:rPr>
          <w:b/>
          <w:snapToGrid w:val="0"/>
        </w:rPr>
        <w:t xml:space="preserve"> Overview and Scrutiny </w:t>
      </w:r>
      <w:r w:rsidR="005E0DA2">
        <w:rPr>
          <w:b/>
          <w:snapToGrid w:val="0"/>
        </w:rPr>
        <w:t>Panel and Audit Committee</w:t>
      </w:r>
      <w:r>
        <w:rPr>
          <w:b/>
          <w:snapToGrid w:val="0"/>
        </w:rPr>
        <w:t>.</w:t>
      </w:r>
      <w:r>
        <w:rPr>
          <w:snapToGrid w:val="0"/>
        </w:rPr>
        <w:t xml:space="preserve">  The performance of the Council in relation to risk management will be reviewed and reported </w:t>
      </w:r>
      <w:r w:rsidR="004226D2">
        <w:rPr>
          <w:snapToGrid w:val="0"/>
        </w:rPr>
        <w:t>to Resources</w:t>
      </w:r>
      <w:r>
        <w:rPr>
          <w:snapToGrid w:val="0"/>
        </w:rPr>
        <w:t xml:space="preserve"> Overview and Scrutiny </w:t>
      </w:r>
      <w:r w:rsidR="005E0DA2">
        <w:rPr>
          <w:snapToGrid w:val="0"/>
        </w:rPr>
        <w:t>Panel</w:t>
      </w:r>
      <w:r w:rsidR="004226D2">
        <w:rPr>
          <w:snapToGrid w:val="0"/>
        </w:rPr>
        <w:t>.</w:t>
      </w:r>
    </w:p>
    <w:p w:rsidR="005E0DA2" w:rsidRDefault="005E0DA2">
      <w:pPr>
        <w:rPr>
          <w:snapToGrid w:val="0"/>
        </w:rPr>
      </w:pPr>
    </w:p>
    <w:p w:rsidR="0010251A" w:rsidRDefault="0010251A">
      <w:pPr>
        <w:rPr>
          <w:snapToGrid w:val="0"/>
        </w:rPr>
      </w:pPr>
      <w:r>
        <w:rPr>
          <w:snapToGrid w:val="0"/>
        </w:rPr>
        <w:t>The performance report will contain information on the following:</w:t>
      </w:r>
    </w:p>
    <w:p w:rsidR="0010251A" w:rsidRDefault="0010251A" w:rsidP="0010251A">
      <w:pPr>
        <w:numPr>
          <w:ilvl w:val="0"/>
          <w:numId w:val="15"/>
        </w:numPr>
        <w:rPr>
          <w:snapToGrid w:val="0"/>
        </w:rPr>
      </w:pPr>
      <w:r>
        <w:rPr>
          <w:snapToGrid w:val="0"/>
        </w:rPr>
        <w:t>New corporate risks</w:t>
      </w:r>
    </w:p>
    <w:p w:rsidR="0010251A" w:rsidRDefault="0010251A" w:rsidP="0010251A">
      <w:pPr>
        <w:numPr>
          <w:ilvl w:val="0"/>
          <w:numId w:val="15"/>
        </w:numPr>
        <w:rPr>
          <w:snapToGrid w:val="0"/>
        </w:rPr>
      </w:pPr>
      <w:r>
        <w:rPr>
          <w:snapToGrid w:val="0"/>
        </w:rPr>
        <w:t>Changes in status to existing corporate risks</w:t>
      </w:r>
    </w:p>
    <w:p w:rsidR="0010251A" w:rsidRDefault="0010251A" w:rsidP="0010251A">
      <w:pPr>
        <w:numPr>
          <w:ilvl w:val="0"/>
          <w:numId w:val="15"/>
        </w:numPr>
        <w:rPr>
          <w:snapToGrid w:val="0"/>
        </w:rPr>
      </w:pPr>
      <w:r>
        <w:rPr>
          <w:snapToGrid w:val="0"/>
        </w:rPr>
        <w:t>Significant actions (and outcomes) taken to address risk</w:t>
      </w:r>
    </w:p>
    <w:p w:rsidR="0010251A" w:rsidRDefault="0010251A" w:rsidP="0010251A">
      <w:pPr>
        <w:numPr>
          <w:ilvl w:val="0"/>
          <w:numId w:val="15"/>
        </w:numPr>
        <w:rPr>
          <w:snapToGrid w:val="0"/>
        </w:rPr>
      </w:pPr>
      <w:r>
        <w:rPr>
          <w:snapToGrid w:val="0"/>
        </w:rPr>
        <w:t>Costs or savings as a direct result of risk management.</w:t>
      </w:r>
    </w:p>
    <w:p w:rsidR="0010251A" w:rsidRDefault="0010251A">
      <w:pPr>
        <w:rPr>
          <w:snapToGrid w:val="0"/>
        </w:rPr>
      </w:pPr>
    </w:p>
    <w:p w:rsidR="0010251A" w:rsidRDefault="0010251A">
      <w:pPr>
        <w:rPr>
          <w:snapToGrid w:val="0"/>
        </w:rPr>
      </w:pPr>
      <w:r>
        <w:rPr>
          <w:snapToGrid w:val="0"/>
        </w:rPr>
        <w:t xml:space="preserve">The chair of </w:t>
      </w:r>
      <w:r w:rsidR="00430679">
        <w:rPr>
          <w:snapToGrid w:val="0"/>
        </w:rPr>
        <w:t>CRMG</w:t>
      </w:r>
      <w:r>
        <w:rPr>
          <w:snapToGrid w:val="0"/>
        </w:rPr>
        <w:t xml:space="preserve"> (</w:t>
      </w:r>
      <w:r w:rsidR="00847F5D">
        <w:rPr>
          <w:snapToGrid w:val="0"/>
        </w:rPr>
        <w:t xml:space="preserve">Deputy Chief </w:t>
      </w:r>
      <w:r>
        <w:rPr>
          <w:snapToGrid w:val="0"/>
        </w:rPr>
        <w:t xml:space="preserve">Executive) will present the report.  </w:t>
      </w:r>
    </w:p>
    <w:p w:rsidR="0010251A" w:rsidRDefault="0010251A">
      <w:pPr>
        <w:rPr>
          <w:snapToGrid w:val="0"/>
        </w:rPr>
      </w:pPr>
    </w:p>
    <w:p w:rsidR="005E0DA2" w:rsidRDefault="0010251A">
      <w:pPr>
        <w:rPr>
          <w:snapToGrid w:val="0"/>
        </w:rPr>
      </w:pPr>
      <w:r>
        <w:rPr>
          <w:snapToGrid w:val="0"/>
        </w:rPr>
        <w:t>The format and content of the report will be developed to meet the needs of the committee on an ongoing basis.</w:t>
      </w:r>
    </w:p>
    <w:p w:rsidR="00847F5D" w:rsidRDefault="00847F5D">
      <w:pPr>
        <w:rPr>
          <w:snapToGrid w:val="0"/>
        </w:rPr>
      </w:pPr>
    </w:p>
    <w:p w:rsidR="0010251A" w:rsidRDefault="00847F5D">
      <w:pPr>
        <w:rPr>
          <w:snapToGrid w:val="0"/>
        </w:rPr>
      </w:pPr>
      <w:proofErr w:type="gramStart"/>
      <w:r>
        <w:rPr>
          <w:b/>
          <w:snapToGrid w:val="0"/>
        </w:rPr>
        <w:t xml:space="preserve">The </w:t>
      </w:r>
      <w:r w:rsidR="0010251A">
        <w:rPr>
          <w:b/>
          <w:snapToGrid w:val="0"/>
        </w:rPr>
        <w:t>Role of Elected Members in Risk Management.</w:t>
      </w:r>
      <w:proofErr w:type="gramEnd"/>
      <w:r w:rsidR="0010251A">
        <w:rPr>
          <w:snapToGrid w:val="0"/>
        </w:rPr>
        <w:t xml:space="preserve">  The </w:t>
      </w:r>
      <w:r w:rsidR="0034557E">
        <w:rPr>
          <w:snapToGrid w:val="0"/>
        </w:rPr>
        <w:t xml:space="preserve">relevant </w:t>
      </w:r>
      <w:r w:rsidR="0010251A">
        <w:rPr>
          <w:snapToGrid w:val="0"/>
        </w:rPr>
        <w:t>Portfolio</w:t>
      </w:r>
      <w:r w:rsidR="0034557E">
        <w:rPr>
          <w:snapToGrid w:val="0"/>
        </w:rPr>
        <w:t xml:space="preserve"> Holder</w:t>
      </w:r>
      <w:r w:rsidR="0010251A">
        <w:rPr>
          <w:snapToGrid w:val="0"/>
        </w:rPr>
        <w:t xml:space="preserve"> is the Member Champion for risk management and is a member of </w:t>
      </w:r>
      <w:r w:rsidR="0016628E">
        <w:rPr>
          <w:snapToGrid w:val="0"/>
        </w:rPr>
        <w:t>CRMG</w:t>
      </w:r>
      <w:r w:rsidR="0010251A">
        <w:rPr>
          <w:snapToGrid w:val="0"/>
        </w:rPr>
        <w:t>.</w:t>
      </w:r>
    </w:p>
    <w:p w:rsidR="0010251A" w:rsidRDefault="0010251A">
      <w:pPr>
        <w:rPr>
          <w:snapToGrid w:val="0"/>
        </w:rPr>
      </w:pPr>
    </w:p>
    <w:p w:rsidR="0010251A" w:rsidRDefault="0010251A">
      <w:pPr>
        <w:rPr>
          <w:snapToGrid w:val="0"/>
        </w:rPr>
      </w:pPr>
      <w:r>
        <w:rPr>
          <w:snapToGrid w:val="0"/>
        </w:rPr>
        <w:t>The corporate risk register will be made available for inspection by any elected member who wishes to do so.</w:t>
      </w:r>
    </w:p>
    <w:p w:rsidR="0010251A" w:rsidRDefault="0010251A">
      <w:pPr>
        <w:rPr>
          <w:snapToGrid w:val="0"/>
        </w:rPr>
      </w:pPr>
    </w:p>
    <w:p w:rsidR="0010251A" w:rsidRDefault="0010251A">
      <w:pPr>
        <w:rPr>
          <w:snapToGrid w:val="0"/>
        </w:rPr>
      </w:pPr>
      <w:r>
        <w:rPr>
          <w:snapToGrid w:val="0"/>
        </w:rPr>
        <w:t xml:space="preserve">The principle interface with elected members for the purpose of monitoring risk management will be the Resources Overview and Scrutiny </w:t>
      </w:r>
      <w:r w:rsidR="0034557E">
        <w:rPr>
          <w:snapToGrid w:val="0"/>
        </w:rPr>
        <w:t>Panel</w:t>
      </w:r>
      <w:r>
        <w:rPr>
          <w:snapToGrid w:val="0"/>
        </w:rPr>
        <w:t xml:space="preserve">.  The </w:t>
      </w:r>
      <w:r w:rsidR="0034557E">
        <w:rPr>
          <w:snapToGrid w:val="0"/>
        </w:rPr>
        <w:t>Panel’s</w:t>
      </w:r>
      <w:r>
        <w:rPr>
          <w:snapToGrid w:val="0"/>
        </w:rPr>
        <w:t xml:space="preserve"> involvement will be as follows:</w:t>
      </w:r>
    </w:p>
    <w:p w:rsidR="0010251A" w:rsidRDefault="0010251A" w:rsidP="0010251A">
      <w:pPr>
        <w:numPr>
          <w:ilvl w:val="0"/>
          <w:numId w:val="16"/>
        </w:numPr>
        <w:rPr>
          <w:snapToGrid w:val="0"/>
        </w:rPr>
      </w:pPr>
      <w:r>
        <w:rPr>
          <w:snapToGrid w:val="0"/>
        </w:rPr>
        <w:t xml:space="preserve">The </w:t>
      </w:r>
      <w:r w:rsidR="0034557E">
        <w:rPr>
          <w:snapToGrid w:val="0"/>
        </w:rPr>
        <w:t>Panel</w:t>
      </w:r>
      <w:r>
        <w:rPr>
          <w:snapToGrid w:val="0"/>
        </w:rPr>
        <w:t xml:space="preserve"> will receive the </w:t>
      </w:r>
      <w:r w:rsidR="009811BE">
        <w:rPr>
          <w:snapToGrid w:val="0"/>
        </w:rPr>
        <w:t>annual</w:t>
      </w:r>
      <w:r>
        <w:rPr>
          <w:snapToGrid w:val="0"/>
        </w:rPr>
        <w:t xml:space="preserve"> risk management reports described elsewhere.  This will apprise members of the Council’s performance in relation to risk management and provide an opportunity for challenge and discussion.</w:t>
      </w:r>
    </w:p>
    <w:p w:rsidR="0010251A" w:rsidRDefault="0010251A" w:rsidP="0010251A">
      <w:pPr>
        <w:numPr>
          <w:ilvl w:val="0"/>
          <w:numId w:val="16"/>
        </w:numPr>
        <w:rPr>
          <w:snapToGrid w:val="0"/>
        </w:rPr>
      </w:pPr>
      <w:r>
        <w:rPr>
          <w:snapToGrid w:val="0"/>
        </w:rPr>
        <w:t xml:space="preserve">The </w:t>
      </w:r>
      <w:r w:rsidR="0034557E">
        <w:rPr>
          <w:snapToGrid w:val="0"/>
        </w:rPr>
        <w:t>Panel</w:t>
      </w:r>
      <w:r>
        <w:rPr>
          <w:snapToGrid w:val="0"/>
        </w:rPr>
        <w:t xml:space="preserve"> may review the corporate risk register at its request.</w:t>
      </w:r>
    </w:p>
    <w:p w:rsidR="0010251A" w:rsidRDefault="0010251A" w:rsidP="0010251A">
      <w:pPr>
        <w:numPr>
          <w:ilvl w:val="0"/>
          <w:numId w:val="16"/>
        </w:numPr>
        <w:rPr>
          <w:snapToGrid w:val="0"/>
        </w:rPr>
      </w:pPr>
      <w:r>
        <w:rPr>
          <w:snapToGrid w:val="0"/>
        </w:rPr>
        <w:t xml:space="preserve">The </w:t>
      </w:r>
      <w:r w:rsidR="0034557E">
        <w:rPr>
          <w:snapToGrid w:val="0"/>
        </w:rPr>
        <w:t>Panel</w:t>
      </w:r>
      <w:r>
        <w:rPr>
          <w:snapToGrid w:val="0"/>
        </w:rPr>
        <w:t xml:space="preserve"> may identify new risks for evaluation and management by </w:t>
      </w:r>
      <w:r w:rsidR="00430679">
        <w:rPr>
          <w:snapToGrid w:val="0"/>
        </w:rPr>
        <w:t>CRMG</w:t>
      </w:r>
      <w:r>
        <w:rPr>
          <w:snapToGrid w:val="0"/>
        </w:rPr>
        <w:t>.</w:t>
      </w:r>
    </w:p>
    <w:p w:rsidR="0010251A" w:rsidRDefault="0010251A">
      <w:pPr>
        <w:rPr>
          <w:snapToGrid w:val="0"/>
        </w:rPr>
      </w:pPr>
    </w:p>
    <w:p w:rsidR="0010251A" w:rsidRDefault="0010251A">
      <w:pPr>
        <w:rPr>
          <w:snapToGrid w:val="0"/>
        </w:rPr>
      </w:pPr>
      <w:r>
        <w:rPr>
          <w:snapToGrid w:val="0"/>
        </w:rPr>
        <w:t xml:space="preserve">All overview and scrutiny </w:t>
      </w:r>
      <w:r w:rsidR="0034557E">
        <w:rPr>
          <w:snapToGrid w:val="0"/>
        </w:rPr>
        <w:t>panels</w:t>
      </w:r>
      <w:r>
        <w:rPr>
          <w:snapToGrid w:val="0"/>
        </w:rPr>
        <w:t xml:space="preserve"> have a role to scrutinise project risk registers where appropriate (i.e. for projects that fall within that particular </w:t>
      </w:r>
      <w:r w:rsidR="0034557E">
        <w:rPr>
          <w:snapToGrid w:val="0"/>
        </w:rPr>
        <w:t>panel’s</w:t>
      </w:r>
      <w:r>
        <w:rPr>
          <w:snapToGrid w:val="0"/>
        </w:rPr>
        <w:t xml:space="preserve"> area of interest)</w:t>
      </w:r>
    </w:p>
    <w:p w:rsidR="0010251A" w:rsidRDefault="0010251A">
      <w:pPr>
        <w:rPr>
          <w:snapToGrid w:val="0"/>
        </w:rPr>
      </w:pPr>
    </w:p>
    <w:p w:rsidR="0010251A" w:rsidRDefault="0010251A">
      <w:pPr>
        <w:rPr>
          <w:snapToGrid w:val="0"/>
        </w:rPr>
      </w:pPr>
    </w:p>
    <w:p w:rsidR="0010251A" w:rsidRDefault="0010251A">
      <w:pPr>
        <w:rPr>
          <w:snapToGrid w:val="0"/>
        </w:rPr>
      </w:pPr>
      <w:r>
        <w:rPr>
          <w:b/>
          <w:snapToGrid w:val="0"/>
        </w:rPr>
        <w:t>Put in place clear procedures for managing and identifying risk.</w:t>
      </w:r>
      <w:r>
        <w:rPr>
          <w:snapToGrid w:val="0"/>
        </w:rPr>
        <w:t xml:space="preserve">  Responsibilities for risk management are identified in the Risk Management Policy.  The procedures for identifying and managing risk will be issued as guidance to officers.  In outline this will be as follows:</w:t>
      </w:r>
    </w:p>
    <w:p w:rsidR="0010251A" w:rsidRDefault="0010251A">
      <w:pPr>
        <w:rPr>
          <w:snapToGrid w:val="0"/>
        </w:rPr>
      </w:pPr>
    </w:p>
    <w:p w:rsidR="0010251A" w:rsidRDefault="0010251A" w:rsidP="0010251A">
      <w:pPr>
        <w:numPr>
          <w:ilvl w:val="0"/>
          <w:numId w:val="17"/>
        </w:numPr>
        <w:rPr>
          <w:snapToGrid w:val="0"/>
        </w:rPr>
      </w:pPr>
      <w:r>
        <w:rPr>
          <w:snapToGrid w:val="0"/>
        </w:rPr>
        <w:t>Operational, strategic and project risks can be identified in a number of ways.  A good method is to hold a workshop where stakeholders can identify and discuss risks and agree upon those that need to be analysed.</w:t>
      </w:r>
    </w:p>
    <w:p w:rsidR="0010251A" w:rsidRDefault="0010251A" w:rsidP="0010251A">
      <w:pPr>
        <w:numPr>
          <w:ilvl w:val="0"/>
          <w:numId w:val="17"/>
        </w:numPr>
        <w:rPr>
          <w:snapToGrid w:val="0"/>
        </w:rPr>
      </w:pPr>
      <w:r>
        <w:rPr>
          <w:snapToGrid w:val="0"/>
        </w:rPr>
        <w:t xml:space="preserve">The analysis of risk will be carried out in accordance with the Risk </w:t>
      </w:r>
      <w:r w:rsidR="004226D2">
        <w:rPr>
          <w:snapToGrid w:val="0"/>
        </w:rPr>
        <w:t xml:space="preserve">Management Policy.  The impact </w:t>
      </w:r>
      <w:r>
        <w:rPr>
          <w:snapToGrid w:val="0"/>
        </w:rPr>
        <w:t>and likelihood will be determined.</w:t>
      </w:r>
    </w:p>
    <w:p w:rsidR="0010251A" w:rsidRDefault="0010251A" w:rsidP="0010251A">
      <w:pPr>
        <w:numPr>
          <w:ilvl w:val="0"/>
          <w:numId w:val="17"/>
        </w:numPr>
        <w:rPr>
          <w:snapToGrid w:val="0"/>
        </w:rPr>
      </w:pPr>
      <w:r>
        <w:rPr>
          <w:snapToGrid w:val="0"/>
        </w:rPr>
        <w:t xml:space="preserve">The appropriate officers according to the type of risk will carry out risk analysis.  For example a project team for a project risk or </w:t>
      </w:r>
      <w:r w:rsidR="00430679">
        <w:rPr>
          <w:snapToGrid w:val="0"/>
        </w:rPr>
        <w:t>CRMG</w:t>
      </w:r>
      <w:r>
        <w:rPr>
          <w:snapToGrid w:val="0"/>
        </w:rPr>
        <w:t xml:space="preserve"> for a crosscutting corporate risk.</w:t>
      </w:r>
    </w:p>
    <w:p w:rsidR="0010251A" w:rsidRDefault="0010251A" w:rsidP="0010251A">
      <w:pPr>
        <w:numPr>
          <w:ilvl w:val="0"/>
          <w:numId w:val="17"/>
        </w:numPr>
        <w:rPr>
          <w:snapToGrid w:val="0"/>
        </w:rPr>
      </w:pPr>
      <w:r>
        <w:rPr>
          <w:snapToGrid w:val="0"/>
        </w:rPr>
        <w:t xml:space="preserve">The circumstances under which a risk should be ‘escalated’ to </w:t>
      </w:r>
      <w:r w:rsidR="00430679">
        <w:rPr>
          <w:snapToGrid w:val="0"/>
        </w:rPr>
        <w:t>CRMG</w:t>
      </w:r>
      <w:r>
        <w:rPr>
          <w:snapToGrid w:val="0"/>
        </w:rPr>
        <w:t xml:space="preserve"> are described in the Risk Management Policy.</w:t>
      </w:r>
    </w:p>
    <w:p w:rsidR="0010251A" w:rsidRDefault="0010251A" w:rsidP="0010251A">
      <w:pPr>
        <w:numPr>
          <w:ilvl w:val="0"/>
          <w:numId w:val="17"/>
        </w:numPr>
        <w:rPr>
          <w:snapToGrid w:val="0"/>
        </w:rPr>
      </w:pPr>
      <w:r>
        <w:rPr>
          <w:snapToGrid w:val="0"/>
        </w:rPr>
        <w:t>The outcome of risk analysis will determine whether the risk can be tolerated by the Council and what kind of remedial action should be taken if necessary.  The appropriate control strategies are described in the Risk Management Policy.</w:t>
      </w:r>
    </w:p>
    <w:p w:rsidR="00847F5D" w:rsidRDefault="0010251A" w:rsidP="00847F5D">
      <w:pPr>
        <w:numPr>
          <w:ilvl w:val="0"/>
          <w:numId w:val="17"/>
        </w:numPr>
        <w:rPr>
          <w:snapToGrid w:val="0"/>
        </w:rPr>
      </w:pPr>
      <w:r>
        <w:rPr>
          <w:snapToGrid w:val="0"/>
        </w:rPr>
        <w:t xml:space="preserve">The appropriate actions for control of risk must be integrated into </w:t>
      </w:r>
      <w:r w:rsidR="005E0DA2">
        <w:rPr>
          <w:snapToGrid w:val="0"/>
        </w:rPr>
        <w:t xml:space="preserve">service </w:t>
      </w:r>
      <w:r>
        <w:rPr>
          <w:snapToGrid w:val="0"/>
        </w:rPr>
        <w:t>plans and project plans.</w:t>
      </w:r>
    </w:p>
    <w:p w:rsidR="00847F5D" w:rsidRDefault="00847F5D" w:rsidP="00847F5D">
      <w:pPr>
        <w:rPr>
          <w:snapToGrid w:val="0"/>
        </w:rPr>
      </w:pPr>
    </w:p>
    <w:sectPr w:rsidR="00847F5D" w:rsidSect="00187E1F">
      <w:pgSz w:w="11907" w:h="16840" w:code="9"/>
      <w:pgMar w:top="964"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BA" w:rsidRDefault="00CC7DBA">
      <w:pPr>
        <w:spacing w:line="240" w:lineRule="auto"/>
      </w:pPr>
      <w:r>
        <w:separator/>
      </w:r>
    </w:p>
  </w:endnote>
  <w:endnote w:type="continuationSeparator" w:id="0">
    <w:p w:rsidR="00CC7DBA" w:rsidRDefault="00CC7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C4" w:rsidRDefault="007A66C4">
    <w:pPr>
      <w:pStyle w:val="Footer"/>
    </w:pPr>
    <w:proofErr w:type="gramStart"/>
    <w:r>
      <w:t>v4</w:t>
    </w:r>
    <w:proofErr w:type="gramEnd"/>
    <w:r>
      <w:t xml:space="preserve">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BA" w:rsidRDefault="00CC7DBA">
      <w:pPr>
        <w:spacing w:line="240" w:lineRule="auto"/>
      </w:pPr>
      <w:r>
        <w:separator/>
      </w:r>
    </w:p>
  </w:footnote>
  <w:footnote w:type="continuationSeparator" w:id="0">
    <w:p w:rsidR="00CC7DBA" w:rsidRDefault="00CC7D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C4" w:rsidRPr="00780528" w:rsidRDefault="007A66C4" w:rsidP="00780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C83C39"/>
    <w:multiLevelType w:val="hybridMultilevel"/>
    <w:tmpl w:val="4D2C2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100889"/>
    <w:multiLevelType w:val="multilevel"/>
    <w:tmpl w:val="6046CA82"/>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A0358"/>
    <w:multiLevelType w:val="multilevel"/>
    <w:tmpl w:val="1140019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30693E"/>
    <w:multiLevelType w:val="multilevel"/>
    <w:tmpl w:val="6A5013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1512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7347A17"/>
    <w:multiLevelType w:val="hybridMultilevel"/>
    <w:tmpl w:val="09A0AC9C"/>
    <w:lvl w:ilvl="0" w:tplc="C8C23BFC">
      <w:start w:val="1"/>
      <w:numFmt w:val="bullet"/>
      <w:lvlText w:val=""/>
      <w:lvlJc w:val="left"/>
      <w:pPr>
        <w:tabs>
          <w:tab w:val="num" w:pos="1004"/>
        </w:tabs>
        <w:ind w:left="1004" w:hanging="360"/>
      </w:pPr>
      <w:rPr>
        <w:rFonts w:ascii="Symbol" w:hAnsi="Symbol" w:hint="default"/>
      </w:rPr>
    </w:lvl>
    <w:lvl w:ilvl="1" w:tplc="A6E41AC8" w:tentative="1">
      <w:start w:val="1"/>
      <w:numFmt w:val="bullet"/>
      <w:lvlText w:val="o"/>
      <w:lvlJc w:val="left"/>
      <w:pPr>
        <w:tabs>
          <w:tab w:val="num" w:pos="1724"/>
        </w:tabs>
        <w:ind w:left="1724" w:hanging="360"/>
      </w:pPr>
      <w:rPr>
        <w:rFonts w:ascii="Courier New" w:hAnsi="Courier New" w:hint="default"/>
      </w:rPr>
    </w:lvl>
    <w:lvl w:ilvl="2" w:tplc="B84E08AE" w:tentative="1">
      <w:start w:val="1"/>
      <w:numFmt w:val="bullet"/>
      <w:lvlText w:val=""/>
      <w:lvlJc w:val="left"/>
      <w:pPr>
        <w:tabs>
          <w:tab w:val="num" w:pos="2444"/>
        </w:tabs>
        <w:ind w:left="2444" w:hanging="360"/>
      </w:pPr>
      <w:rPr>
        <w:rFonts w:ascii="Wingdings" w:hAnsi="Wingdings" w:hint="default"/>
      </w:rPr>
    </w:lvl>
    <w:lvl w:ilvl="3" w:tplc="648A9E06" w:tentative="1">
      <w:start w:val="1"/>
      <w:numFmt w:val="bullet"/>
      <w:lvlText w:val=""/>
      <w:lvlJc w:val="left"/>
      <w:pPr>
        <w:tabs>
          <w:tab w:val="num" w:pos="3164"/>
        </w:tabs>
        <w:ind w:left="3164" w:hanging="360"/>
      </w:pPr>
      <w:rPr>
        <w:rFonts w:ascii="Symbol" w:hAnsi="Symbol" w:hint="default"/>
      </w:rPr>
    </w:lvl>
    <w:lvl w:ilvl="4" w:tplc="FCC49D28" w:tentative="1">
      <w:start w:val="1"/>
      <w:numFmt w:val="bullet"/>
      <w:lvlText w:val="o"/>
      <w:lvlJc w:val="left"/>
      <w:pPr>
        <w:tabs>
          <w:tab w:val="num" w:pos="3884"/>
        </w:tabs>
        <w:ind w:left="3884" w:hanging="360"/>
      </w:pPr>
      <w:rPr>
        <w:rFonts w:ascii="Courier New" w:hAnsi="Courier New" w:hint="default"/>
      </w:rPr>
    </w:lvl>
    <w:lvl w:ilvl="5" w:tplc="8DF6A108" w:tentative="1">
      <w:start w:val="1"/>
      <w:numFmt w:val="bullet"/>
      <w:lvlText w:val=""/>
      <w:lvlJc w:val="left"/>
      <w:pPr>
        <w:tabs>
          <w:tab w:val="num" w:pos="4604"/>
        </w:tabs>
        <w:ind w:left="4604" w:hanging="360"/>
      </w:pPr>
      <w:rPr>
        <w:rFonts w:ascii="Wingdings" w:hAnsi="Wingdings" w:hint="default"/>
      </w:rPr>
    </w:lvl>
    <w:lvl w:ilvl="6" w:tplc="34C6DC7A" w:tentative="1">
      <w:start w:val="1"/>
      <w:numFmt w:val="bullet"/>
      <w:lvlText w:val=""/>
      <w:lvlJc w:val="left"/>
      <w:pPr>
        <w:tabs>
          <w:tab w:val="num" w:pos="5324"/>
        </w:tabs>
        <w:ind w:left="5324" w:hanging="360"/>
      </w:pPr>
      <w:rPr>
        <w:rFonts w:ascii="Symbol" w:hAnsi="Symbol" w:hint="default"/>
      </w:rPr>
    </w:lvl>
    <w:lvl w:ilvl="7" w:tplc="D3C22F88" w:tentative="1">
      <w:start w:val="1"/>
      <w:numFmt w:val="bullet"/>
      <w:lvlText w:val="o"/>
      <w:lvlJc w:val="left"/>
      <w:pPr>
        <w:tabs>
          <w:tab w:val="num" w:pos="6044"/>
        </w:tabs>
        <w:ind w:left="6044" w:hanging="360"/>
      </w:pPr>
      <w:rPr>
        <w:rFonts w:ascii="Courier New" w:hAnsi="Courier New" w:hint="default"/>
      </w:rPr>
    </w:lvl>
    <w:lvl w:ilvl="8" w:tplc="FD52EF4E" w:tentative="1">
      <w:start w:val="1"/>
      <w:numFmt w:val="bullet"/>
      <w:lvlText w:val=""/>
      <w:lvlJc w:val="left"/>
      <w:pPr>
        <w:tabs>
          <w:tab w:val="num" w:pos="6764"/>
        </w:tabs>
        <w:ind w:left="6764" w:hanging="360"/>
      </w:pPr>
      <w:rPr>
        <w:rFonts w:ascii="Wingdings" w:hAnsi="Wingdings" w:hint="default"/>
      </w:rPr>
    </w:lvl>
  </w:abstractNum>
  <w:abstractNum w:abstractNumId="7">
    <w:nsid w:val="3B81090B"/>
    <w:multiLevelType w:val="multilevel"/>
    <w:tmpl w:val="489609E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9">
    <w:nsid w:val="47D87906"/>
    <w:multiLevelType w:val="multilevel"/>
    <w:tmpl w:val="19F40C0E"/>
    <w:lvl w:ilvl="0">
      <w:start w:val="1"/>
      <w:numFmt w:val="decimal"/>
      <w:lvlText w:val="%1."/>
      <w:lvlJc w:val="left"/>
      <w:pPr>
        <w:tabs>
          <w:tab w:val="num" w:pos="703"/>
        </w:tabs>
        <w:ind w:left="703" w:hanging="703"/>
      </w:pPr>
      <w:rPr>
        <w:b/>
        <w:i w:val="0"/>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FF367FF"/>
    <w:multiLevelType w:val="multilevel"/>
    <w:tmpl w:val="CA00F6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5CEF7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E5D4FFE"/>
    <w:multiLevelType w:val="multilevel"/>
    <w:tmpl w:val="3110AB7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3D6206"/>
    <w:multiLevelType w:val="multilevel"/>
    <w:tmpl w:val="7AF0AAC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73640F2"/>
    <w:multiLevelType w:val="multilevel"/>
    <w:tmpl w:val="6766344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9B0CDA"/>
    <w:multiLevelType w:val="multilevel"/>
    <w:tmpl w:val="7C1E003E"/>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7">
    <w:nsid w:val="780E1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8F930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BE7287F"/>
    <w:multiLevelType w:val="multilevel"/>
    <w:tmpl w:val="927ABB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060795"/>
    <w:multiLevelType w:val="multilevel"/>
    <w:tmpl w:val="703C3D2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CF0DBD"/>
    <w:multiLevelType w:val="hybridMultilevel"/>
    <w:tmpl w:val="6930C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6"/>
  </w:num>
  <w:num w:numId="4">
    <w:abstractNumId w:val="6"/>
  </w:num>
  <w:num w:numId="5">
    <w:abstractNumId w:val="15"/>
  </w:num>
  <w:num w:numId="6">
    <w:abstractNumId w:val="13"/>
  </w:num>
  <w:num w:numId="7">
    <w:abstractNumId w:val="7"/>
  </w:num>
  <w:num w:numId="8">
    <w:abstractNumId w:val="0"/>
  </w:num>
  <w:num w:numId="9">
    <w:abstractNumId w:val="20"/>
  </w:num>
  <w:num w:numId="10">
    <w:abstractNumId w:val="14"/>
  </w:num>
  <w:num w:numId="11">
    <w:abstractNumId w:val="19"/>
  </w:num>
  <w:num w:numId="12">
    <w:abstractNumId w:val="3"/>
  </w:num>
  <w:num w:numId="13">
    <w:abstractNumId w:val="10"/>
  </w:num>
  <w:num w:numId="14">
    <w:abstractNumId w:val="4"/>
  </w:num>
  <w:num w:numId="15">
    <w:abstractNumId w:val="17"/>
  </w:num>
  <w:num w:numId="16">
    <w:abstractNumId w:val="18"/>
  </w:num>
  <w:num w:numId="17">
    <w:abstractNumId w:val="5"/>
  </w:num>
  <w:num w:numId="18">
    <w:abstractNumId w:val="11"/>
  </w:num>
  <w:num w:numId="19">
    <w:abstractNumId w:val="1"/>
  </w:num>
  <w:num w:numId="20">
    <w:abstractNumId w:val="2"/>
  </w:num>
  <w:num w:numId="21">
    <w:abstractNumId w:val="21"/>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73FFD"/>
    <w:rsid w:val="00003191"/>
    <w:rsid w:val="000B5E9E"/>
    <w:rsid w:val="000D2D9A"/>
    <w:rsid w:val="0010251A"/>
    <w:rsid w:val="001365D8"/>
    <w:rsid w:val="00137ED4"/>
    <w:rsid w:val="0016628E"/>
    <w:rsid w:val="00175BEF"/>
    <w:rsid w:val="00187E1F"/>
    <w:rsid w:val="001B78A7"/>
    <w:rsid w:val="001E28CB"/>
    <w:rsid w:val="001F47B6"/>
    <w:rsid w:val="00212463"/>
    <w:rsid w:val="002A7862"/>
    <w:rsid w:val="002B7D85"/>
    <w:rsid w:val="002C1C1B"/>
    <w:rsid w:val="002F421C"/>
    <w:rsid w:val="00322332"/>
    <w:rsid w:val="00333C0D"/>
    <w:rsid w:val="0034557E"/>
    <w:rsid w:val="00364BB0"/>
    <w:rsid w:val="0036716B"/>
    <w:rsid w:val="003722CA"/>
    <w:rsid w:val="00373FE0"/>
    <w:rsid w:val="00374EFB"/>
    <w:rsid w:val="00397314"/>
    <w:rsid w:val="003F2AC6"/>
    <w:rsid w:val="003F7FD5"/>
    <w:rsid w:val="004226D2"/>
    <w:rsid w:val="004260C3"/>
    <w:rsid w:val="0043033F"/>
    <w:rsid w:val="00430679"/>
    <w:rsid w:val="00432FF0"/>
    <w:rsid w:val="0046550A"/>
    <w:rsid w:val="00474EE9"/>
    <w:rsid w:val="0050694A"/>
    <w:rsid w:val="00511CC1"/>
    <w:rsid w:val="005778C1"/>
    <w:rsid w:val="005A7482"/>
    <w:rsid w:val="005C3F29"/>
    <w:rsid w:val="005E0DA2"/>
    <w:rsid w:val="00641743"/>
    <w:rsid w:val="00662A40"/>
    <w:rsid w:val="00686AF1"/>
    <w:rsid w:val="006E0F6F"/>
    <w:rsid w:val="006F4E49"/>
    <w:rsid w:val="0071164E"/>
    <w:rsid w:val="00721E55"/>
    <w:rsid w:val="00723E5C"/>
    <w:rsid w:val="00741874"/>
    <w:rsid w:val="0074367F"/>
    <w:rsid w:val="0077078B"/>
    <w:rsid w:val="00780528"/>
    <w:rsid w:val="0078223F"/>
    <w:rsid w:val="007875AD"/>
    <w:rsid w:val="00790D25"/>
    <w:rsid w:val="007A66C4"/>
    <w:rsid w:val="007C3EA5"/>
    <w:rsid w:val="007E5043"/>
    <w:rsid w:val="00812F2B"/>
    <w:rsid w:val="008178DA"/>
    <w:rsid w:val="00847F5D"/>
    <w:rsid w:val="00895C01"/>
    <w:rsid w:val="008E20D0"/>
    <w:rsid w:val="008F25FC"/>
    <w:rsid w:val="0092091B"/>
    <w:rsid w:val="00922891"/>
    <w:rsid w:val="009379C9"/>
    <w:rsid w:val="0096470B"/>
    <w:rsid w:val="0097048C"/>
    <w:rsid w:val="00973FFD"/>
    <w:rsid w:val="009753F4"/>
    <w:rsid w:val="009769F5"/>
    <w:rsid w:val="009811BE"/>
    <w:rsid w:val="0098589F"/>
    <w:rsid w:val="009A2A52"/>
    <w:rsid w:val="009C3E3E"/>
    <w:rsid w:val="009E3198"/>
    <w:rsid w:val="00A07C6C"/>
    <w:rsid w:val="00A14E88"/>
    <w:rsid w:val="00A16253"/>
    <w:rsid w:val="00A21A09"/>
    <w:rsid w:val="00A43D39"/>
    <w:rsid w:val="00A62B6C"/>
    <w:rsid w:val="00AE74C1"/>
    <w:rsid w:val="00B3498F"/>
    <w:rsid w:val="00B353A8"/>
    <w:rsid w:val="00B54010"/>
    <w:rsid w:val="00B9017B"/>
    <w:rsid w:val="00BA3311"/>
    <w:rsid w:val="00BC4748"/>
    <w:rsid w:val="00BF5B92"/>
    <w:rsid w:val="00C73021"/>
    <w:rsid w:val="00C94A41"/>
    <w:rsid w:val="00CA7E00"/>
    <w:rsid w:val="00CC7DBA"/>
    <w:rsid w:val="00CE52E4"/>
    <w:rsid w:val="00D31374"/>
    <w:rsid w:val="00D35205"/>
    <w:rsid w:val="00D417A8"/>
    <w:rsid w:val="00D67263"/>
    <w:rsid w:val="00D76987"/>
    <w:rsid w:val="00D84BEA"/>
    <w:rsid w:val="00D960F6"/>
    <w:rsid w:val="00DD58F2"/>
    <w:rsid w:val="00E310A9"/>
    <w:rsid w:val="00E3443F"/>
    <w:rsid w:val="00E36110"/>
    <w:rsid w:val="00E60D89"/>
    <w:rsid w:val="00E639C9"/>
    <w:rsid w:val="00E83A04"/>
    <w:rsid w:val="00EA46D1"/>
    <w:rsid w:val="00EB40BB"/>
    <w:rsid w:val="00F30F2C"/>
    <w:rsid w:val="00F777CC"/>
    <w:rsid w:val="00F83332"/>
    <w:rsid w:val="00FE2014"/>
    <w:rsid w:val="00FF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32"/>
    <w:pPr>
      <w:spacing w:line="300" w:lineRule="auto"/>
    </w:pPr>
    <w:rPr>
      <w:rFonts w:ascii="Arial" w:hAnsi="Arial"/>
      <w:sz w:val="24"/>
      <w:lang w:eastAsia="en-US"/>
    </w:rPr>
  </w:style>
  <w:style w:type="paragraph" w:styleId="Heading1">
    <w:name w:val="heading 1"/>
    <w:basedOn w:val="Normal"/>
    <w:next w:val="Normal"/>
    <w:qFormat/>
    <w:rsid w:val="00F83332"/>
    <w:pPr>
      <w:keepNext/>
      <w:outlineLvl w:val="0"/>
    </w:pPr>
    <w:rPr>
      <w:rFonts w:ascii="Tahoma" w:hAnsi="Tahoma"/>
      <w:b/>
      <w:spacing w:val="18"/>
      <w:sz w:val="28"/>
    </w:rPr>
  </w:style>
  <w:style w:type="paragraph" w:styleId="Heading2">
    <w:name w:val="heading 2"/>
    <w:basedOn w:val="Normal"/>
    <w:next w:val="Normal"/>
    <w:qFormat/>
    <w:rsid w:val="00F83332"/>
    <w:pPr>
      <w:keepNext/>
      <w:outlineLvl w:val="1"/>
    </w:pPr>
    <w:rPr>
      <w:b/>
      <w:sz w:val="36"/>
    </w:rPr>
  </w:style>
  <w:style w:type="paragraph" w:styleId="Heading3">
    <w:name w:val="heading 3"/>
    <w:basedOn w:val="Normal"/>
    <w:next w:val="Normal"/>
    <w:qFormat/>
    <w:rsid w:val="00F83332"/>
    <w:pPr>
      <w:keepNext/>
      <w:outlineLvl w:val="2"/>
    </w:pPr>
    <w:rPr>
      <w:rFonts w:ascii="Tahoma" w:hAnsi="Tahoma"/>
    </w:rPr>
  </w:style>
  <w:style w:type="paragraph" w:styleId="Heading4">
    <w:name w:val="heading 4"/>
    <w:basedOn w:val="Normal"/>
    <w:next w:val="Normal"/>
    <w:qFormat/>
    <w:rsid w:val="00F83332"/>
    <w:pPr>
      <w:keepNext/>
      <w:outlineLvl w:val="3"/>
    </w:pPr>
    <w:rPr>
      <w:rFonts w:ascii="Tahoma" w:hAnsi="Tahoma"/>
      <w:sz w:val="40"/>
    </w:rPr>
  </w:style>
  <w:style w:type="paragraph" w:styleId="Heading5">
    <w:name w:val="heading 5"/>
    <w:basedOn w:val="Normal"/>
    <w:next w:val="Normal"/>
    <w:qFormat/>
    <w:rsid w:val="00F83332"/>
    <w:pPr>
      <w:keepNext/>
      <w:spacing w:before="25" w:after="120"/>
      <w:jc w:val="center"/>
      <w:outlineLvl w:val="4"/>
    </w:pPr>
    <w:rPr>
      <w:rFonts w:ascii="Tahoma" w:hAnsi="Tahoma"/>
    </w:rPr>
  </w:style>
  <w:style w:type="paragraph" w:styleId="Heading6">
    <w:name w:val="heading 6"/>
    <w:basedOn w:val="Normal"/>
    <w:next w:val="Normal"/>
    <w:qFormat/>
    <w:rsid w:val="00F83332"/>
    <w:pPr>
      <w:keepNext/>
      <w:spacing w:before="60" w:after="40"/>
      <w:outlineLvl w:val="5"/>
    </w:pPr>
    <w:rPr>
      <w:rFonts w:ascii="Tahoma" w:hAnsi="Tahoma"/>
      <w:b/>
      <w:sz w:val="20"/>
    </w:rPr>
  </w:style>
  <w:style w:type="paragraph" w:styleId="Heading7">
    <w:name w:val="heading 7"/>
    <w:basedOn w:val="Normal"/>
    <w:next w:val="Normal"/>
    <w:qFormat/>
    <w:rsid w:val="00F83332"/>
    <w:pPr>
      <w:keepNext/>
      <w:spacing w:before="25" w:after="120"/>
      <w:outlineLvl w:val="6"/>
    </w:pPr>
    <w:rPr>
      <w:b/>
    </w:rPr>
  </w:style>
  <w:style w:type="paragraph" w:styleId="Heading8">
    <w:name w:val="heading 8"/>
    <w:basedOn w:val="Normal"/>
    <w:next w:val="Normal"/>
    <w:qFormat/>
    <w:rsid w:val="00F83332"/>
    <w:pPr>
      <w:keepNext/>
      <w:spacing w:before="360"/>
      <w:outlineLvl w:val="7"/>
    </w:pPr>
    <w:rPr>
      <w:rFonts w:ascii="Tahoma" w:hAnsi="Tahoma"/>
      <w:b/>
      <w:sz w:val="18"/>
    </w:rPr>
  </w:style>
  <w:style w:type="paragraph" w:styleId="Heading9">
    <w:name w:val="heading 9"/>
    <w:basedOn w:val="Normal"/>
    <w:next w:val="Normal"/>
    <w:qFormat/>
    <w:rsid w:val="00F83332"/>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3332"/>
    <w:pPr>
      <w:tabs>
        <w:tab w:val="center" w:pos="4153"/>
        <w:tab w:val="right" w:pos="8306"/>
      </w:tabs>
    </w:pPr>
  </w:style>
  <w:style w:type="paragraph" w:styleId="Footer">
    <w:name w:val="footer"/>
    <w:basedOn w:val="Normal"/>
    <w:semiHidden/>
    <w:rsid w:val="00F83332"/>
    <w:pPr>
      <w:tabs>
        <w:tab w:val="center" w:pos="4153"/>
        <w:tab w:val="right" w:pos="8306"/>
      </w:tabs>
    </w:pPr>
  </w:style>
  <w:style w:type="character" w:styleId="PageNumber">
    <w:name w:val="page number"/>
    <w:basedOn w:val="DefaultParagraphFont"/>
    <w:semiHidden/>
    <w:rsid w:val="00F83332"/>
  </w:style>
  <w:style w:type="paragraph" w:styleId="BodyText">
    <w:name w:val="Body Text"/>
    <w:basedOn w:val="Normal"/>
    <w:semiHidden/>
    <w:rsid w:val="00F83332"/>
    <w:pPr>
      <w:spacing w:before="25" w:after="120"/>
    </w:pPr>
  </w:style>
  <w:style w:type="paragraph" w:styleId="BodyText2">
    <w:name w:val="Body Text 2"/>
    <w:basedOn w:val="Normal"/>
    <w:semiHidden/>
    <w:rsid w:val="00F83332"/>
    <w:pPr>
      <w:spacing w:line="240" w:lineRule="auto"/>
      <w:jc w:val="both"/>
    </w:pPr>
    <w:rPr>
      <w:sz w:val="22"/>
    </w:rPr>
  </w:style>
  <w:style w:type="paragraph" w:styleId="BodyText3">
    <w:name w:val="Body Text 3"/>
    <w:basedOn w:val="Normal"/>
    <w:semiHidden/>
    <w:rsid w:val="00F83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pPr>
    <w:rPr>
      <w:sz w:val="18"/>
    </w:rPr>
  </w:style>
  <w:style w:type="paragraph" w:styleId="Subtitle">
    <w:name w:val="Subtitle"/>
    <w:basedOn w:val="Normal"/>
    <w:qFormat/>
    <w:rsid w:val="00F83332"/>
    <w:pPr>
      <w:spacing w:line="240" w:lineRule="auto"/>
      <w:jc w:val="center"/>
    </w:pPr>
    <w:rPr>
      <w:b/>
      <w:sz w:val="32"/>
      <w:lang w:val="en-US"/>
    </w:rPr>
  </w:style>
  <w:style w:type="character" w:styleId="CommentReference">
    <w:name w:val="annotation reference"/>
    <w:basedOn w:val="DefaultParagraphFont"/>
    <w:uiPriority w:val="99"/>
    <w:semiHidden/>
    <w:unhideWhenUsed/>
    <w:rsid w:val="00741874"/>
    <w:rPr>
      <w:sz w:val="16"/>
      <w:szCs w:val="16"/>
    </w:rPr>
  </w:style>
  <w:style w:type="paragraph" w:styleId="CommentText">
    <w:name w:val="annotation text"/>
    <w:basedOn w:val="Normal"/>
    <w:link w:val="CommentTextChar"/>
    <w:uiPriority w:val="99"/>
    <w:semiHidden/>
    <w:unhideWhenUsed/>
    <w:rsid w:val="00741874"/>
    <w:rPr>
      <w:sz w:val="20"/>
    </w:rPr>
  </w:style>
  <w:style w:type="character" w:customStyle="1" w:styleId="CommentTextChar">
    <w:name w:val="Comment Text Char"/>
    <w:basedOn w:val="DefaultParagraphFont"/>
    <w:link w:val="CommentText"/>
    <w:uiPriority w:val="99"/>
    <w:semiHidden/>
    <w:rsid w:val="0074187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41874"/>
    <w:rPr>
      <w:b/>
      <w:bCs/>
    </w:rPr>
  </w:style>
  <w:style w:type="character" w:customStyle="1" w:styleId="CommentSubjectChar">
    <w:name w:val="Comment Subject Char"/>
    <w:basedOn w:val="CommentTextChar"/>
    <w:link w:val="CommentSubject"/>
    <w:uiPriority w:val="99"/>
    <w:semiHidden/>
    <w:rsid w:val="00741874"/>
    <w:rPr>
      <w:rFonts w:ascii="Arial" w:hAnsi="Arial"/>
      <w:b/>
      <w:bCs/>
      <w:lang w:eastAsia="en-US"/>
    </w:rPr>
  </w:style>
  <w:style w:type="paragraph" w:styleId="BalloonText">
    <w:name w:val="Balloon Text"/>
    <w:basedOn w:val="Normal"/>
    <w:link w:val="BalloonTextChar"/>
    <w:uiPriority w:val="99"/>
    <w:semiHidden/>
    <w:unhideWhenUsed/>
    <w:rsid w:val="007418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74"/>
    <w:rPr>
      <w:rFonts w:ascii="Tahoma" w:hAnsi="Tahoma" w:cs="Tahoma"/>
      <w:sz w:val="16"/>
      <w:szCs w:val="16"/>
      <w:lang w:eastAsia="en-US"/>
    </w:rPr>
  </w:style>
  <w:style w:type="paragraph" w:styleId="Revision">
    <w:name w:val="Revision"/>
    <w:hidden/>
    <w:uiPriority w:val="99"/>
    <w:semiHidden/>
    <w:rsid w:val="00E83A04"/>
    <w:rPr>
      <w:rFonts w:ascii="Arial" w:hAnsi="Arial"/>
      <w:sz w:val="24"/>
      <w:lang w:eastAsia="en-US"/>
    </w:rPr>
  </w:style>
  <w:style w:type="paragraph" w:styleId="ListParagraph">
    <w:name w:val="List Paragraph"/>
    <w:basedOn w:val="Normal"/>
    <w:uiPriority w:val="34"/>
    <w:qFormat/>
    <w:rsid w:val="00A43D39"/>
    <w:pPr>
      <w:ind w:left="720"/>
    </w:pPr>
  </w:style>
  <w:style w:type="table" w:styleId="TableGrid">
    <w:name w:val="Table Grid"/>
    <w:basedOn w:val="TableNormal"/>
    <w:uiPriority w:val="59"/>
    <w:rsid w:val="00721E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20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lisl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A974B24317EB4AACAEA30D24379173" ma:contentTypeVersion="0" ma:contentTypeDescription="Create a new document." ma:contentTypeScope="" ma:versionID="0ffb8208ca801e28d33b1a7802140a35">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1 xmlns="2827cf95-1867-45d9-9da9-2f3ef88d7c5b" xsi:nil="true"/>
  </documentManagement>
</p:properties>
</file>

<file path=customXml/itemProps1.xml><?xml version="1.0" encoding="utf-8"?>
<ds:datastoreItem xmlns:ds="http://schemas.openxmlformats.org/officeDocument/2006/customXml" ds:itemID="{FAA6B247-DD7C-4977-88BD-B3FBF83248B1}"/>
</file>

<file path=customXml/itemProps2.xml><?xml version="1.0" encoding="utf-8"?>
<ds:datastoreItem xmlns:ds="http://schemas.openxmlformats.org/officeDocument/2006/customXml" ds:itemID="{2957B06F-96C0-408C-BC74-C49F97557AC0}"/>
</file>

<file path=customXml/itemProps3.xml><?xml version="1.0" encoding="utf-8"?>
<ds:datastoreItem xmlns:ds="http://schemas.openxmlformats.org/officeDocument/2006/customXml" ds:itemID="{7C0E5C37-6202-4FFB-8BD6-5A3E5687F1D3}"/>
</file>

<file path=customXml/itemProps4.xml><?xml version="1.0" encoding="utf-8"?>
<ds:datastoreItem xmlns:ds="http://schemas.openxmlformats.org/officeDocument/2006/customXml" ds:itemID="{B14946B5-8A75-4B6E-94AF-A72DDC8D0C9C}"/>
</file>

<file path=docProps/app.xml><?xml version="1.0" encoding="utf-8"?>
<Properties xmlns="http://schemas.openxmlformats.org/officeDocument/2006/extended-properties" xmlns:vt="http://schemas.openxmlformats.org/officeDocument/2006/docPropsVTypes">
  <Template>Normal.dotm</Template>
  <TotalTime>94</TotalTime>
  <Pages>12</Pages>
  <Words>3034</Words>
  <Characters>17184</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Risk Management Policy</vt:lpstr>
      <vt:lpstr>    INTRODUCTION</vt:lpstr>
      <vt:lpstr>    RISK MANAGEMENT STRATEGY (March 2015)</vt:lpstr>
      <vt:lpstr>Introduction</vt:lpstr>
      <vt:lpstr>Aim of the Strategy</vt:lpstr>
      <vt:lpstr>        The Strategy - What We Are Going To Do</vt:lpstr>
    </vt:vector>
  </TitlesOfParts>
  <Company>Carlisle City Council, I.T. Services</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Gooding</dc:creator>
  <cp:keywords/>
  <dc:description/>
  <cp:lastModifiedBy>Sarah Mason</cp:lastModifiedBy>
  <cp:revision>8</cp:revision>
  <cp:lastPrinted>2010-03-19T13:50:00Z</cp:lastPrinted>
  <dcterms:created xsi:type="dcterms:W3CDTF">2015-04-02T09:06:00Z</dcterms:created>
  <dcterms:modified xsi:type="dcterms:W3CDTF">2015-06-01T07:59:00Z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