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1"/>
        <w:gridCol w:w="3805"/>
      </w:tblGrid>
      <w:tr w:rsidR="002617F1" w:rsidTr="00B67E81">
        <w:tc>
          <w:tcPr>
            <w:tcW w:w="1157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2617F1" w:rsidRPr="001316E1" w:rsidRDefault="00C8455E" w:rsidP="00B67E81">
            <w:pPr>
              <w:rPr>
                <w:sz w:val="36"/>
                <w:szCs w:val="36"/>
              </w:rPr>
            </w:pPr>
            <w:r>
              <w:rPr>
                <w:rFonts w:ascii="Verdana" w:eastAsia="Verdana" w:hAnsi="Verdana" w:cs="Verdana"/>
                <w:b/>
                <w:color w:val="000000"/>
                <w:sz w:val="36"/>
                <w:szCs w:val="36"/>
              </w:rPr>
              <w:t>Corporate Risk Register August</w:t>
            </w:r>
            <w:r w:rsidR="002617F1">
              <w:rPr>
                <w:rFonts w:ascii="Verdana" w:eastAsia="Verdana" w:hAnsi="Verdana" w:cs="Verdana"/>
                <w:b/>
                <w:color w:val="000000"/>
                <w:sz w:val="36"/>
                <w:szCs w:val="36"/>
              </w:rPr>
              <w:t xml:space="preserve"> 2015</w:t>
            </w:r>
          </w:p>
          <w:p w:rsidR="002617F1" w:rsidRPr="00FC61A7" w:rsidRDefault="002617F1" w:rsidP="00B67E81">
            <w:pPr>
              <w:rPr>
                <w:rFonts w:ascii="Verdana" w:eastAsia="Verdana" w:hAnsi="Verdana" w:cs="Verdana"/>
                <w:color w:val="000000"/>
                <w:sz w:val="18"/>
                <w:szCs w:val="18"/>
              </w:rPr>
            </w:pPr>
          </w:p>
          <w:p w:rsidR="002617F1" w:rsidRPr="00561659" w:rsidRDefault="002617F1" w:rsidP="00B67E81">
            <w:pPr>
              <w:rPr>
                <w:rFonts w:ascii="Verdana" w:eastAsia="Verdana" w:hAnsi="Verdana" w:cs="Verdana"/>
                <w:color w:val="000000"/>
                <w:sz w:val="18"/>
                <w:szCs w:val="18"/>
              </w:rPr>
            </w:pPr>
            <w:r w:rsidRPr="00FC61A7">
              <w:rPr>
                <w:rFonts w:ascii="Verdana" w:eastAsia="Verdana" w:hAnsi="Verdana" w:cs="Verdana"/>
                <w:color w:val="000000"/>
                <w:sz w:val="18"/>
                <w:szCs w:val="18"/>
              </w:rPr>
              <w:t>Note: Amendments in th</w:t>
            </w:r>
            <w:r w:rsidR="00914FCF">
              <w:rPr>
                <w:rFonts w:ascii="Verdana" w:eastAsia="Verdana" w:hAnsi="Verdana" w:cs="Verdana"/>
                <w:color w:val="000000"/>
                <w:sz w:val="18"/>
                <w:szCs w:val="18"/>
              </w:rPr>
              <w:t>e last quarter are marked in</w:t>
            </w:r>
            <w:r w:rsidRPr="00FC61A7">
              <w:rPr>
                <w:rFonts w:ascii="Verdana" w:eastAsia="Verdana" w:hAnsi="Verdana" w:cs="Verdana"/>
                <w:color w:val="000000"/>
                <w:sz w:val="18"/>
                <w:szCs w:val="18"/>
              </w:rPr>
              <w:t xml:space="preserve"> italics. The inclusion of the previous and current risk matrices shows the effect that the control strategies have had on risk ratings since the last update.  A target risk matrix shows the risk level that the Council is aiming to achieve from the successful implementation of the control strategies and the date for when this will be achieved. </w:t>
            </w:r>
          </w:p>
        </w:tc>
        <w:tc>
          <w:tcPr>
            <w:tcW w:w="3860"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2617F1" w:rsidRDefault="002617F1" w:rsidP="00B67E81">
            <w:pPr>
              <w:jc w:val="right"/>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047750" cy="890901"/>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7750" cy="890901"/>
                          </a:xfrm>
                          <a:prstGeom prst="rect">
                            <a:avLst/>
                          </a:prstGeom>
                          <a:noFill/>
                          <a:ln w="9525">
                            <a:noFill/>
                            <a:miter lim="800000"/>
                            <a:headEnd/>
                            <a:tailEnd/>
                          </a:ln>
                        </pic:spPr>
                      </pic:pic>
                    </a:graphicData>
                  </a:graphic>
                </wp:inline>
              </w:drawing>
            </w:r>
          </w:p>
        </w:tc>
      </w:tr>
    </w:tbl>
    <w:p w:rsidR="002617F1" w:rsidRPr="00261513" w:rsidRDefault="002617F1" w:rsidP="002617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097"/>
        <w:gridCol w:w="1538"/>
        <w:gridCol w:w="7401"/>
        <w:gridCol w:w="2038"/>
        <w:gridCol w:w="6"/>
      </w:tblGrid>
      <w:tr w:rsidR="002617F1" w:rsidTr="00B67E81">
        <w:tc>
          <w:tcPr>
            <w:tcW w:w="15432" w:type="dxa"/>
            <w:gridSpan w:val="6"/>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rPr>
                <w:rFonts w:ascii="Verdana" w:hAnsi="Verdana"/>
                <w:b/>
                <w:sz w:val="20"/>
              </w:rPr>
            </w:pPr>
            <w:r w:rsidRPr="00C74563">
              <w:rPr>
                <w:rFonts w:ascii="Verdana" w:hAnsi="Verdana"/>
                <w:b/>
                <w:sz w:val="20"/>
              </w:rPr>
              <w:t>Asset Business Plan – Asset Disposal Strategy</w:t>
            </w:r>
          </w:p>
        </w:tc>
      </w:tr>
      <w:tr w:rsidR="002617F1" w:rsidTr="00B67E81">
        <w:tc>
          <w:tcPr>
            <w:tcW w:w="15432" w:type="dxa"/>
            <w:gridSpan w:val="6"/>
            <w:tcBorders>
              <w:top w:val="single" w:sz="8" w:space="0" w:color="78786E"/>
              <w:left w:val="single" w:sz="8" w:space="0" w:color="78786E"/>
              <w:bottom w:val="single" w:sz="8" w:space="0" w:color="78786E"/>
              <w:right w:val="single" w:sz="8" w:space="0" w:color="78786E"/>
            </w:tcBorders>
            <w:shd w:val="clear" w:color="auto" w:fill="A6A6A6" w:themeFill="background1" w:themeFillShade="A6"/>
            <w:tcMar>
              <w:top w:w="40" w:type="dxa"/>
              <w:left w:w="40" w:type="dxa"/>
              <w:bottom w:w="40" w:type="dxa"/>
              <w:right w:w="40" w:type="dxa"/>
            </w:tcMar>
            <w:vAlign w:val="center"/>
          </w:tcPr>
          <w:p w:rsidR="002617F1" w:rsidRPr="00C74563" w:rsidRDefault="002617F1" w:rsidP="00B67E81">
            <w:pPr>
              <w:rPr>
                <w:rFonts w:ascii="Verdana" w:eastAsia="Verdana" w:hAnsi="Verdana" w:cs="Verdana"/>
                <w:b/>
                <w:color w:val="000000"/>
                <w:sz w:val="20"/>
              </w:rPr>
            </w:pPr>
            <w:r w:rsidRPr="00C74563">
              <w:rPr>
                <w:rFonts w:ascii="Verdana" w:eastAsia="Verdana" w:hAnsi="Verdana" w:cs="Verdana"/>
                <w:b/>
                <w:color w:val="000000"/>
                <w:sz w:val="20"/>
              </w:rPr>
              <w:t>‘There is a risk that significant delays in the disposal of Council assets will have substantial impact on the capital reinvestment plans and revenue position of the Council’</w:t>
            </w:r>
          </w:p>
        </w:tc>
      </w:tr>
      <w:tr w:rsidR="002617F1" w:rsidTr="00B67E81">
        <w:trPr>
          <w:gridAfter w:val="1"/>
          <w:wAfter w:w="6" w:type="dxa"/>
        </w:trPr>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b/>
                <w:color w:val="000000"/>
              </w:rPr>
            </w:pP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p>
        </w:tc>
        <w:tc>
          <w:tcPr>
            <w:tcW w:w="7508"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p>
        </w:tc>
        <w:tc>
          <w:tcPr>
            <w:tcW w:w="206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p>
        </w:tc>
      </w:tr>
      <w:tr w:rsidR="002617F1" w:rsidTr="00B67E81">
        <w:trPr>
          <w:gridAfter w:val="1"/>
          <w:wAfter w:w="6" w:type="dxa"/>
        </w:trPr>
        <w:tc>
          <w:tcPr>
            <w:tcW w:w="2167"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color w:val="FFFFFF"/>
                <w:sz w:val="16"/>
                <w:szCs w:val="16"/>
              </w:rPr>
            </w:pPr>
            <w:r w:rsidRPr="00C74563">
              <w:rPr>
                <w:rFonts w:ascii="Verdana" w:eastAsia="Verdana" w:hAnsi="Verdana" w:cs="Verdana"/>
                <w:b/>
                <w:color w:val="000000"/>
                <w:sz w:val="16"/>
                <w:szCs w:val="16"/>
              </w:rPr>
              <w:t>Present and Previous Matrices</w:t>
            </w:r>
          </w:p>
        </w:tc>
        <w:tc>
          <w:tcPr>
            <w:tcW w:w="21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b/>
                <w:color w:val="000000"/>
                <w:sz w:val="16"/>
                <w:szCs w:val="16"/>
              </w:rPr>
              <w:t>Assessment Dates</w:t>
            </w:r>
          </w:p>
        </w:tc>
        <w:tc>
          <w:tcPr>
            <w:tcW w:w="1559"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b/>
                <w:color w:val="000000"/>
                <w:sz w:val="16"/>
                <w:szCs w:val="16"/>
              </w:rPr>
              <w:t>Present and Previous Risk Scores</w:t>
            </w:r>
          </w:p>
        </w:tc>
        <w:tc>
          <w:tcPr>
            <w:tcW w:w="750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b/>
                <w:color w:val="000000"/>
                <w:sz w:val="16"/>
                <w:szCs w:val="16"/>
              </w:rPr>
              <w:t>Current Action Status / Control Strategy</w:t>
            </w:r>
          </w:p>
        </w:tc>
        <w:tc>
          <w:tcPr>
            <w:tcW w:w="206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b/>
                <w:color w:val="000000"/>
                <w:sz w:val="16"/>
                <w:szCs w:val="16"/>
              </w:rPr>
              <w:t>Target Risk Matrix</w:t>
            </w:r>
          </w:p>
        </w:tc>
      </w:tr>
      <w:tr w:rsidR="002617F1" w:rsidTr="009531DD">
        <w:trPr>
          <w:gridAfter w:val="1"/>
          <w:wAfter w:w="6" w:type="dxa"/>
          <w:trHeight w:val="1459"/>
        </w:trPr>
        <w:tc>
          <w:tcPr>
            <w:tcW w:w="21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Default="002617F1" w:rsidP="009531DD">
            <w:pPr>
              <w:rPr>
                <w:rFonts w:ascii="Verdana" w:eastAsia="Verdana" w:hAnsi="Verdana" w:cs="Verdana"/>
                <w:b/>
                <w:noProof/>
                <w:color w:val="000000"/>
                <w:sz w:val="16"/>
                <w:szCs w:val="16"/>
              </w:rPr>
            </w:pPr>
          </w:p>
          <w:p w:rsidR="002617F1" w:rsidRPr="00C74563" w:rsidRDefault="009531DD" w:rsidP="009531DD">
            <w:pPr>
              <w:jc w:val="center"/>
              <w:rPr>
                <w:rFonts w:ascii="Verdana" w:eastAsia="Verdana" w:hAnsi="Verdana" w:cs="Verdana"/>
                <w:b/>
                <w:noProof/>
                <w:color w:val="000000"/>
                <w:sz w:val="16"/>
                <w:szCs w:val="16"/>
              </w:rPr>
            </w:pPr>
            <w:r w:rsidRPr="009531DD">
              <w:rPr>
                <w:rFonts w:ascii="Verdana" w:eastAsia="Verdana" w:hAnsi="Verdana" w:cs="Verdana"/>
                <w:b/>
                <w:noProof/>
                <w:color w:val="000000"/>
                <w:sz w:val="16"/>
                <w:szCs w:val="16"/>
              </w:rPr>
              <w:drawing>
                <wp:inline distT="0" distB="0" distL="0" distR="0">
                  <wp:extent cx="847725" cy="8286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C8455E" w:rsidP="00B67E81">
            <w:pPr>
              <w:jc w:val="center"/>
              <w:rPr>
                <w:rFonts w:ascii="Verdana" w:eastAsia="Verdana" w:hAnsi="Verdana" w:cs="Verdana"/>
                <w:color w:val="000000"/>
                <w:sz w:val="16"/>
                <w:szCs w:val="16"/>
              </w:rPr>
            </w:pPr>
            <w:r>
              <w:rPr>
                <w:rFonts w:ascii="Verdana" w:eastAsia="Verdana" w:hAnsi="Verdana" w:cs="Verdana"/>
                <w:color w:val="000000"/>
                <w:sz w:val="18"/>
                <w:szCs w:val="18"/>
              </w:rPr>
              <w:t>26-Aug</w:t>
            </w:r>
            <w:r w:rsidR="009531DD" w:rsidRPr="0014693B">
              <w:rPr>
                <w:rFonts w:ascii="Verdana" w:eastAsia="Verdana" w:hAnsi="Verdana" w:cs="Verdana"/>
                <w:color w:val="000000"/>
                <w:sz w:val="18"/>
                <w:szCs w:val="18"/>
              </w:rPr>
              <w:t>-201</w:t>
            </w:r>
            <w:r w:rsidR="009531DD">
              <w:rPr>
                <w:rFonts w:ascii="Verdana" w:eastAsia="Verdana" w:hAnsi="Verdana" w:cs="Verdana"/>
                <w:color w:val="000000"/>
                <w:sz w:val="18"/>
                <w:szCs w:val="18"/>
              </w:rPr>
              <w:t>5</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color w:val="000000"/>
                <w:sz w:val="16"/>
                <w:szCs w:val="16"/>
              </w:rPr>
            </w:pPr>
            <w:r w:rsidRPr="00C74563">
              <w:rPr>
                <w:rFonts w:ascii="Verdana" w:eastAsia="Verdana" w:hAnsi="Verdana" w:cs="Verdana"/>
                <w:color w:val="000000"/>
                <w:sz w:val="16"/>
                <w:szCs w:val="16"/>
              </w:rPr>
              <w:t>6</w:t>
            </w:r>
          </w:p>
        </w:tc>
        <w:tc>
          <w:tcPr>
            <w:tcW w:w="7508" w:type="dxa"/>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14FCF" w:rsidRDefault="00292579" w:rsidP="00B67E81">
            <w:pPr>
              <w:rPr>
                <w:rFonts w:ascii="Verdana" w:eastAsia="Verdana" w:hAnsi="Verdana" w:cs="Verdana"/>
                <w:b/>
                <w:i/>
                <w:sz w:val="16"/>
                <w:szCs w:val="16"/>
              </w:rPr>
            </w:pPr>
            <w:r w:rsidRPr="00914FCF">
              <w:rPr>
                <w:rFonts w:ascii="Verdana" w:eastAsia="Verdana" w:hAnsi="Verdana" w:cs="Verdana"/>
                <w:b/>
                <w:i/>
                <w:sz w:val="16"/>
                <w:szCs w:val="16"/>
              </w:rPr>
              <w:t>Recent progress</w:t>
            </w:r>
          </w:p>
          <w:p w:rsidR="00292579" w:rsidRPr="00914FCF" w:rsidRDefault="00292579" w:rsidP="00B67E81">
            <w:pPr>
              <w:rPr>
                <w:rFonts w:ascii="Verdana" w:eastAsia="Verdana" w:hAnsi="Verdana" w:cs="Verdana"/>
                <w:i/>
                <w:sz w:val="16"/>
                <w:szCs w:val="16"/>
              </w:rPr>
            </w:pPr>
            <w:r w:rsidRPr="00914FCF">
              <w:rPr>
                <w:rFonts w:ascii="Verdana" w:eastAsia="Verdana" w:hAnsi="Verdana" w:cs="Verdana"/>
                <w:i/>
                <w:sz w:val="16"/>
                <w:szCs w:val="16"/>
              </w:rPr>
              <w:t>The Asset Business Plan was approved by Full Council on 14</w:t>
            </w:r>
            <w:r w:rsidRPr="00914FCF">
              <w:rPr>
                <w:rFonts w:ascii="Verdana" w:eastAsia="Verdana" w:hAnsi="Verdana" w:cs="Verdana"/>
                <w:i/>
                <w:sz w:val="16"/>
                <w:szCs w:val="16"/>
                <w:vertAlign w:val="superscript"/>
              </w:rPr>
              <w:t>th</w:t>
            </w:r>
            <w:r w:rsidRPr="00914FCF">
              <w:rPr>
                <w:rFonts w:ascii="Verdana" w:eastAsia="Verdana" w:hAnsi="Verdana" w:cs="Verdana"/>
                <w:i/>
                <w:sz w:val="16"/>
                <w:szCs w:val="16"/>
              </w:rPr>
              <w:t xml:space="preserve"> July.  This is a refreshed plan which targets housing land provision to meet the priority in the Carlisle Plan.  It also includes a position statement on the assets currently ‘On hold’ and this impact has been accounted for in the 2015/16 MTFP.</w:t>
            </w:r>
          </w:p>
          <w:p w:rsidR="00292579" w:rsidRPr="00914FCF" w:rsidRDefault="00292579" w:rsidP="00B67E81">
            <w:pPr>
              <w:rPr>
                <w:rFonts w:ascii="Verdana" w:eastAsia="Verdana" w:hAnsi="Verdana" w:cs="Verdana"/>
                <w:b/>
                <w:i/>
                <w:sz w:val="16"/>
                <w:szCs w:val="16"/>
              </w:rPr>
            </w:pPr>
            <w:r w:rsidRPr="00914FCF">
              <w:rPr>
                <w:rFonts w:ascii="Verdana" w:eastAsia="Verdana" w:hAnsi="Verdana" w:cs="Verdana"/>
                <w:b/>
                <w:i/>
                <w:sz w:val="16"/>
                <w:szCs w:val="16"/>
              </w:rPr>
              <w:t>Further mitigating action</w:t>
            </w:r>
            <w:r w:rsidR="00EB52BB" w:rsidRPr="00914FCF">
              <w:rPr>
                <w:rFonts w:ascii="Verdana" w:eastAsia="Verdana" w:hAnsi="Verdana" w:cs="Verdana"/>
                <w:b/>
                <w:i/>
                <w:sz w:val="16"/>
                <w:szCs w:val="16"/>
              </w:rPr>
              <w:t xml:space="preserve"> to be taken</w:t>
            </w:r>
          </w:p>
          <w:p w:rsidR="00292579" w:rsidRPr="00914FCF" w:rsidRDefault="00292579" w:rsidP="00B67E81">
            <w:pPr>
              <w:rPr>
                <w:rFonts w:ascii="Verdana" w:eastAsia="Verdana" w:hAnsi="Verdana" w:cs="Verdana"/>
                <w:i/>
                <w:sz w:val="16"/>
                <w:szCs w:val="16"/>
              </w:rPr>
            </w:pPr>
            <w:r w:rsidRPr="00914FCF">
              <w:rPr>
                <w:rFonts w:ascii="Verdana" w:eastAsia="Verdana" w:hAnsi="Verdana" w:cs="Verdana"/>
                <w:i/>
                <w:sz w:val="16"/>
                <w:szCs w:val="16"/>
              </w:rPr>
              <w:t>Disposal negotiations will be regularly monitored in line with the Asset business case.</w:t>
            </w:r>
          </w:p>
          <w:p w:rsidR="00292579" w:rsidRPr="00C74563" w:rsidRDefault="00292579" w:rsidP="00B67E81">
            <w:pPr>
              <w:rPr>
                <w:rFonts w:ascii="Verdana" w:eastAsia="Verdana" w:hAnsi="Verdana" w:cs="Verdana"/>
                <w:sz w:val="16"/>
                <w:szCs w:val="16"/>
              </w:rPr>
            </w:pPr>
            <w:r w:rsidRPr="00914FCF">
              <w:rPr>
                <w:rFonts w:ascii="Verdana" w:eastAsia="Verdana" w:hAnsi="Verdana" w:cs="Verdana"/>
                <w:i/>
                <w:sz w:val="16"/>
                <w:szCs w:val="16"/>
              </w:rPr>
              <w:t>An internal Asset Disposal Working Group (Property/Finance/Director of Governance) has been set up.  This will review the disposal programme to ascertain the impact on the funding of the Council’s capital programme, asset reinvestment opportunities and mitigate any borrowing requirements.</w:t>
            </w:r>
          </w:p>
        </w:tc>
        <w:tc>
          <w:tcPr>
            <w:tcW w:w="2066" w:type="dxa"/>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color w:val="000000"/>
                <w:sz w:val="16"/>
                <w:szCs w:val="16"/>
              </w:rPr>
            </w:pPr>
            <w:r w:rsidRPr="00C74563">
              <w:rPr>
                <w:rFonts w:ascii="Verdana" w:eastAsia="Verdana" w:hAnsi="Verdana" w:cs="Verdana"/>
                <w:noProof/>
                <w:color w:val="000000"/>
                <w:sz w:val="16"/>
                <w:szCs w:val="16"/>
              </w:rPr>
              <w:drawing>
                <wp:inline distT="0" distB="0" distL="0" distR="0">
                  <wp:extent cx="847725" cy="828675"/>
                  <wp:effectExtent l="19050" t="0" r="952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r>
      <w:tr w:rsidR="002617F1" w:rsidTr="00B67E81">
        <w:trPr>
          <w:gridAfter w:val="1"/>
          <w:wAfter w:w="6" w:type="dxa"/>
        </w:trPr>
        <w:tc>
          <w:tcPr>
            <w:tcW w:w="21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561659" w:rsidRDefault="002617F1" w:rsidP="00B67E81">
            <w:pPr>
              <w:jc w:val="center"/>
              <w:rPr>
                <w:rFonts w:ascii="Verdana" w:eastAsia="Verdana" w:hAnsi="Verdana" w:cs="Verdana"/>
                <w:b/>
                <w:noProof/>
                <w:color w:val="000000"/>
                <w:sz w:val="16"/>
                <w:szCs w:val="16"/>
              </w:rPr>
            </w:pPr>
            <w:r w:rsidRPr="00561659">
              <w:rPr>
                <w:rFonts w:ascii="Verdana" w:eastAsia="Verdana" w:hAnsi="Verdana" w:cs="Verdana"/>
                <w:b/>
                <w:noProof/>
                <w:color w:val="000000"/>
                <w:sz w:val="16"/>
                <w:szCs w:val="16"/>
              </w:rPr>
              <w:drawing>
                <wp:inline distT="0" distB="0" distL="0" distR="0">
                  <wp:extent cx="847725" cy="828675"/>
                  <wp:effectExtent l="19050" t="0" r="9525"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561659" w:rsidRDefault="00C8455E" w:rsidP="00B67E81">
            <w:pPr>
              <w:jc w:val="center"/>
              <w:rPr>
                <w:rFonts w:ascii="Verdana" w:eastAsia="Verdana" w:hAnsi="Verdana" w:cs="Verdana"/>
                <w:color w:val="000000"/>
                <w:sz w:val="16"/>
                <w:szCs w:val="16"/>
              </w:rPr>
            </w:pPr>
            <w:r>
              <w:rPr>
                <w:rFonts w:ascii="Verdana" w:eastAsia="Verdana" w:hAnsi="Verdana" w:cs="Verdana"/>
                <w:color w:val="000000"/>
                <w:sz w:val="18"/>
                <w:szCs w:val="18"/>
              </w:rPr>
              <w:t>20-May-2015</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561659" w:rsidRDefault="002617F1" w:rsidP="00B67E81">
            <w:pPr>
              <w:jc w:val="center"/>
              <w:rPr>
                <w:rFonts w:ascii="Verdana" w:eastAsia="Verdana" w:hAnsi="Verdana" w:cs="Verdana"/>
                <w:color w:val="000000"/>
                <w:sz w:val="16"/>
                <w:szCs w:val="16"/>
              </w:rPr>
            </w:pPr>
            <w:r w:rsidRPr="00561659">
              <w:rPr>
                <w:rFonts w:ascii="Verdana" w:eastAsia="Verdana" w:hAnsi="Verdana" w:cs="Verdana"/>
                <w:color w:val="000000"/>
                <w:sz w:val="16"/>
                <w:szCs w:val="16"/>
              </w:rPr>
              <w:t>6</w:t>
            </w:r>
          </w:p>
        </w:tc>
        <w:tc>
          <w:tcPr>
            <w:tcW w:w="7508" w:type="dxa"/>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4693B" w:rsidRDefault="002617F1" w:rsidP="00B67E81">
            <w:pPr>
              <w:rPr>
                <w:rFonts w:ascii="Verdana" w:eastAsia="Verdana" w:hAnsi="Verdana" w:cs="Verdana"/>
                <w:color w:val="000000"/>
                <w:sz w:val="18"/>
                <w:szCs w:val="18"/>
              </w:rPr>
            </w:pPr>
          </w:p>
        </w:tc>
        <w:tc>
          <w:tcPr>
            <w:tcW w:w="2066" w:type="dxa"/>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4693B" w:rsidRDefault="002617F1" w:rsidP="00B67E81">
            <w:pPr>
              <w:jc w:val="center"/>
              <w:rPr>
                <w:rFonts w:ascii="Verdana" w:eastAsia="Verdana" w:hAnsi="Verdana" w:cs="Verdana"/>
                <w:color w:val="000000"/>
                <w:sz w:val="18"/>
                <w:szCs w:val="18"/>
              </w:rPr>
            </w:pPr>
          </w:p>
        </w:tc>
      </w:tr>
      <w:tr w:rsidR="002617F1" w:rsidTr="00B67E81">
        <w:trPr>
          <w:gridAfter w:val="1"/>
          <w:wAfter w:w="6" w:type="dxa"/>
        </w:trPr>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4693B" w:rsidRDefault="002617F1" w:rsidP="00B67E81">
            <w:pPr>
              <w:jc w:val="right"/>
              <w:rPr>
                <w:rFonts w:ascii="Verdana" w:eastAsia="Verdana" w:hAnsi="Verdana" w:cs="Verdana"/>
                <w:color w:val="000000"/>
                <w:sz w:val="18"/>
                <w:szCs w:val="18"/>
              </w:rPr>
            </w:pP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4693B" w:rsidRDefault="002617F1" w:rsidP="00B67E81">
            <w:pPr>
              <w:jc w:val="right"/>
              <w:rPr>
                <w:rFonts w:ascii="Verdana" w:eastAsia="Verdana" w:hAnsi="Verdana" w:cs="Verdana"/>
                <w:color w:val="FFFFFF"/>
                <w:sz w:val="18"/>
                <w:szCs w:val="18"/>
              </w:rPr>
            </w:pP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4693B" w:rsidRDefault="002617F1" w:rsidP="00B67E81">
            <w:pPr>
              <w:jc w:val="right"/>
              <w:rPr>
                <w:rFonts w:ascii="Verdana" w:eastAsia="Verdana" w:hAnsi="Verdana" w:cs="Verdana"/>
                <w:color w:val="FFFFFF"/>
                <w:sz w:val="18"/>
                <w:szCs w:val="18"/>
              </w:rPr>
            </w:pPr>
          </w:p>
        </w:tc>
        <w:tc>
          <w:tcPr>
            <w:tcW w:w="7508"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4693B" w:rsidRDefault="002617F1" w:rsidP="00B67E81">
            <w:pPr>
              <w:jc w:val="right"/>
              <w:rPr>
                <w:rFonts w:ascii="Verdana" w:eastAsia="Verdana" w:hAnsi="Verdana" w:cs="Verdana"/>
                <w:color w:val="FFFFFF"/>
                <w:sz w:val="18"/>
                <w:szCs w:val="18"/>
              </w:rPr>
            </w:pPr>
          </w:p>
        </w:tc>
        <w:tc>
          <w:tcPr>
            <w:tcW w:w="206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4693B" w:rsidRDefault="002617F1" w:rsidP="00B67E81">
            <w:pPr>
              <w:jc w:val="right"/>
              <w:rPr>
                <w:rFonts w:ascii="Verdana" w:eastAsia="Verdana" w:hAnsi="Verdana" w:cs="Verdana"/>
                <w:color w:val="FFFFFF"/>
                <w:sz w:val="18"/>
                <w:szCs w:val="18"/>
              </w:rPr>
            </w:pPr>
          </w:p>
        </w:tc>
      </w:tr>
      <w:tr w:rsidR="002617F1" w:rsidTr="00B67E81">
        <w:trPr>
          <w:gridAfter w:val="1"/>
          <w:wAfter w:w="6" w:type="dxa"/>
        </w:trPr>
        <w:tc>
          <w:tcPr>
            <w:tcW w:w="21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C74563" w:rsidRDefault="002617F1" w:rsidP="00B67E81">
            <w:pPr>
              <w:rPr>
                <w:rFonts w:ascii="Verdana" w:eastAsia="Verdana" w:hAnsi="Verdana" w:cs="Verdana"/>
                <w:color w:val="FFFFFF"/>
                <w:sz w:val="16"/>
                <w:szCs w:val="16"/>
              </w:rPr>
            </w:pPr>
            <w:r w:rsidRPr="00C74563">
              <w:rPr>
                <w:rFonts w:ascii="Verdana" w:eastAsia="Verdana" w:hAnsi="Verdana" w:cs="Verdana"/>
                <w:b/>
                <w:color w:val="000000"/>
                <w:sz w:val="16"/>
                <w:szCs w:val="16"/>
              </w:rPr>
              <w:t>Current Impact Description</w:t>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color w:val="000000"/>
                <w:sz w:val="16"/>
                <w:szCs w:val="16"/>
              </w:rPr>
              <w:t>High</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000000"/>
                <w:sz w:val="16"/>
                <w:szCs w:val="16"/>
              </w:rPr>
            </w:pPr>
            <w:r w:rsidRPr="00C74563">
              <w:rPr>
                <w:rFonts w:ascii="Verdana" w:eastAsia="Verdana" w:hAnsi="Verdana" w:cs="Verdana"/>
                <w:color w:val="FFFFFF"/>
                <w:sz w:val="16"/>
                <w:szCs w:val="16"/>
              </w:rPr>
              <w:t xml:space="preserve"> </w:t>
            </w:r>
          </w:p>
        </w:tc>
        <w:tc>
          <w:tcPr>
            <w:tcW w:w="750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b/>
                <w:color w:val="000000"/>
                <w:sz w:val="16"/>
                <w:szCs w:val="16"/>
              </w:rPr>
              <w:t>Target Risk Date</w:t>
            </w:r>
          </w:p>
        </w:tc>
        <w:tc>
          <w:tcPr>
            <w:tcW w:w="20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color w:val="000000"/>
                <w:sz w:val="16"/>
                <w:szCs w:val="16"/>
              </w:rPr>
              <w:t>01-Dec-2014</w:t>
            </w:r>
          </w:p>
        </w:tc>
      </w:tr>
      <w:tr w:rsidR="002617F1" w:rsidTr="00B67E81">
        <w:trPr>
          <w:gridAfter w:val="1"/>
          <w:wAfter w:w="6" w:type="dxa"/>
        </w:trPr>
        <w:tc>
          <w:tcPr>
            <w:tcW w:w="21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C74563" w:rsidRDefault="002617F1" w:rsidP="00B67E81">
            <w:pPr>
              <w:rPr>
                <w:rFonts w:ascii="Verdana" w:eastAsia="Verdana" w:hAnsi="Verdana" w:cs="Verdana"/>
                <w:color w:val="000000"/>
                <w:sz w:val="16"/>
                <w:szCs w:val="16"/>
              </w:rPr>
            </w:pPr>
            <w:r w:rsidRPr="00C74563">
              <w:rPr>
                <w:rFonts w:ascii="Verdana" w:eastAsia="Verdana" w:hAnsi="Verdana" w:cs="Verdana"/>
                <w:b/>
                <w:color w:val="000000"/>
                <w:sz w:val="16"/>
                <w:szCs w:val="16"/>
              </w:rPr>
              <w:t>Current Likelihood Description</w:t>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color w:val="000000"/>
                <w:sz w:val="16"/>
                <w:szCs w:val="16"/>
              </w:rPr>
              <w:t>Remote</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000000"/>
                <w:sz w:val="16"/>
                <w:szCs w:val="16"/>
              </w:rPr>
            </w:pPr>
            <w:r w:rsidRPr="00C74563">
              <w:rPr>
                <w:rFonts w:ascii="Verdana" w:eastAsia="Verdana" w:hAnsi="Verdana" w:cs="Verdana"/>
                <w:color w:val="FFFFFF"/>
                <w:sz w:val="16"/>
                <w:szCs w:val="16"/>
              </w:rPr>
              <w:t xml:space="preserve"> </w:t>
            </w:r>
          </w:p>
        </w:tc>
        <w:tc>
          <w:tcPr>
            <w:tcW w:w="750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b/>
                <w:color w:val="000000"/>
                <w:sz w:val="16"/>
                <w:szCs w:val="16"/>
              </w:rPr>
              <w:t>Target Risk Score</w:t>
            </w:r>
          </w:p>
        </w:tc>
        <w:tc>
          <w:tcPr>
            <w:tcW w:w="20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color w:val="000000"/>
                <w:sz w:val="16"/>
                <w:szCs w:val="16"/>
              </w:rPr>
              <w:t>6</w:t>
            </w:r>
          </w:p>
        </w:tc>
      </w:tr>
      <w:tr w:rsidR="002617F1" w:rsidTr="00B67E81">
        <w:trPr>
          <w:gridAfter w:val="1"/>
          <w:wAfter w:w="6" w:type="dxa"/>
        </w:trPr>
        <w:tc>
          <w:tcPr>
            <w:tcW w:w="21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C74563" w:rsidRDefault="002617F1" w:rsidP="00B67E81">
            <w:pPr>
              <w:rPr>
                <w:rFonts w:ascii="Verdana" w:eastAsia="Verdana" w:hAnsi="Verdana" w:cs="Verdana"/>
                <w:color w:val="000000"/>
                <w:sz w:val="16"/>
                <w:szCs w:val="16"/>
              </w:rPr>
            </w:pPr>
            <w:r w:rsidRPr="00C74563">
              <w:rPr>
                <w:rFonts w:ascii="Verdana" w:eastAsia="Verdana" w:hAnsi="Verdana" w:cs="Verdana"/>
                <w:b/>
                <w:color w:val="000000"/>
                <w:sz w:val="16"/>
                <w:szCs w:val="16"/>
              </w:rPr>
              <w:t>Risk Score</w:t>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color w:val="000000"/>
                <w:sz w:val="16"/>
                <w:szCs w:val="16"/>
              </w:rPr>
              <w:t>6</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000000"/>
                <w:sz w:val="16"/>
                <w:szCs w:val="16"/>
              </w:rPr>
            </w:pPr>
            <w:r w:rsidRPr="00C74563">
              <w:rPr>
                <w:rFonts w:ascii="Verdana" w:eastAsia="Verdana" w:hAnsi="Verdana" w:cs="Verdana"/>
                <w:color w:val="FFFFFF"/>
                <w:sz w:val="16"/>
                <w:szCs w:val="16"/>
              </w:rPr>
              <w:t xml:space="preserve"> </w:t>
            </w:r>
          </w:p>
        </w:tc>
        <w:tc>
          <w:tcPr>
            <w:tcW w:w="7508"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color w:val="FFFFFF"/>
                <w:sz w:val="16"/>
                <w:szCs w:val="16"/>
              </w:rPr>
              <w:t xml:space="preserve"> </w:t>
            </w:r>
          </w:p>
        </w:tc>
        <w:tc>
          <w:tcPr>
            <w:tcW w:w="206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color w:val="FFFFFF"/>
                <w:sz w:val="16"/>
                <w:szCs w:val="16"/>
              </w:rPr>
              <w:t xml:space="preserve"> </w:t>
            </w:r>
          </w:p>
        </w:tc>
      </w:tr>
      <w:tr w:rsidR="002617F1" w:rsidTr="00B67E81">
        <w:trPr>
          <w:gridAfter w:val="1"/>
          <w:wAfter w:w="6" w:type="dxa"/>
        </w:trPr>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color w:val="FFFFFF"/>
                <w:sz w:val="16"/>
                <w:szCs w:val="16"/>
              </w:rPr>
              <w:t xml:space="preserve"> </w:t>
            </w: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color w:val="FFFFFF"/>
                <w:sz w:val="16"/>
                <w:szCs w:val="16"/>
              </w:rPr>
              <w:t xml:space="preserve"> </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color w:val="FFFFFF"/>
                <w:sz w:val="16"/>
                <w:szCs w:val="16"/>
              </w:rPr>
              <w:t xml:space="preserve"> </w:t>
            </w:r>
          </w:p>
        </w:tc>
        <w:tc>
          <w:tcPr>
            <w:tcW w:w="750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b/>
                <w:color w:val="000000"/>
                <w:sz w:val="16"/>
                <w:szCs w:val="16"/>
              </w:rPr>
              <w:t>Lead Officer</w:t>
            </w:r>
          </w:p>
        </w:tc>
        <w:tc>
          <w:tcPr>
            <w:tcW w:w="20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color w:val="000000"/>
                <w:sz w:val="16"/>
                <w:szCs w:val="16"/>
              </w:rPr>
            </w:pPr>
            <w:r w:rsidRPr="00C74563">
              <w:rPr>
                <w:rFonts w:ascii="Verdana" w:eastAsia="Verdana" w:hAnsi="Verdana" w:cs="Verdana"/>
                <w:color w:val="000000"/>
                <w:sz w:val="16"/>
                <w:szCs w:val="16"/>
              </w:rPr>
              <w:t>Mark Lambert</w:t>
            </w:r>
          </w:p>
        </w:tc>
      </w:tr>
      <w:tr w:rsidR="002617F1" w:rsidTr="00B67E81">
        <w:trPr>
          <w:gridAfter w:val="1"/>
          <w:wAfter w:w="6" w:type="dxa"/>
        </w:trPr>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000000"/>
                <w:sz w:val="16"/>
                <w:szCs w:val="16"/>
              </w:rPr>
            </w:pPr>
            <w:r w:rsidRPr="00C74563">
              <w:rPr>
                <w:rFonts w:ascii="Verdana" w:eastAsia="Verdana" w:hAnsi="Verdana" w:cs="Verdana"/>
                <w:color w:val="FFFFFF"/>
                <w:sz w:val="16"/>
                <w:szCs w:val="16"/>
              </w:rPr>
              <w:t xml:space="preserve"> </w:t>
            </w: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color w:val="FFFFFF"/>
                <w:sz w:val="16"/>
                <w:szCs w:val="16"/>
              </w:rPr>
              <w:t xml:space="preserve"> </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color w:val="FFFFFF"/>
                <w:sz w:val="16"/>
                <w:szCs w:val="16"/>
              </w:rPr>
              <w:t xml:space="preserve"> </w:t>
            </w:r>
          </w:p>
        </w:tc>
        <w:tc>
          <w:tcPr>
            <w:tcW w:w="750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r w:rsidRPr="00C74563">
              <w:rPr>
                <w:rFonts w:ascii="Verdana" w:eastAsia="Verdana" w:hAnsi="Verdana" w:cs="Verdana"/>
                <w:b/>
                <w:color w:val="000000"/>
                <w:sz w:val="16"/>
                <w:szCs w:val="16"/>
              </w:rPr>
              <w:t>Portfolio Holder</w:t>
            </w:r>
          </w:p>
        </w:tc>
        <w:tc>
          <w:tcPr>
            <w:tcW w:w="20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2617F1" w:rsidP="00B67E81">
            <w:pPr>
              <w:jc w:val="center"/>
              <w:rPr>
                <w:rFonts w:ascii="Verdana" w:eastAsia="Verdana" w:hAnsi="Verdana" w:cs="Verdana"/>
                <w:b/>
                <w:color w:val="000000"/>
                <w:sz w:val="16"/>
                <w:szCs w:val="16"/>
              </w:rPr>
            </w:pPr>
            <w:r w:rsidRPr="00C74563">
              <w:rPr>
                <w:rFonts w:ascii="Verdana" w:eastAsia="Verdana" w:hAnsi="Verdana" w:cs="Verdana"/>
                <w:color w:val="000000"/>
                <w:sz w:val="16"/>
                <w:szCs w:val="16"/>
              </w:rPr>
              <w:t>Councillor Tickner</w:t>
            </w:r>
          </w:p>
        </w:tc>
      </w:tr>
      <w:tr w:rsidR="002617F1" w:rsidTr="00B67E81">
        <w:trPr>
          <w:gridAfter w:val="1"/>
          <w:wAfter w:w="6" w:type="dxa"/>
        </w:trPr>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color w:val="FFFFFF"/>
                <w:sz w:val="16"/>
                <w:szCs w:val="16"/>
              </w:rPr>
            </w:pPr>
          </w:p>
        </w:tc>
        <w:tc>
          <w:tcPr>
            <w:tcW w:w="750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C74563" w:rsidRDefault="002617F1" w:rsidP="00B67E81">
            <w:pPr>
              <w:jc w:val="right"/>
              <w:rPr>
                <w:rFonts w:ascii="Verdana" w:eastAsia="Verdana" w:hAnsi="Verdana" w:cs="Verdana"/>
                <w:b/>
                <w:color w:val="000000"/>
                <w:sz w:val="16"/>
                <w:szCs w:val="16"/>
              </w:rPr>
            </w:pPr>
            <w:r w:rsidRPr="00C74563">
              <w:rPr>
                <w:rFonts w:ascii="Verdana" w:eastAsia="Verdana" w:hAnsi="Verdana" w:cs="Verdana"/>
                <w:b/>
                <w:color w:val="000000"/>
                <w:sz w:val="16"/>
                <w:szCs w:val="16"/>
              </w:rPr>
              <w:t>Overview and Scrutiny Panel</w:t>
            </w:r>
          </w:p>
        </w:tc>
        <w:tc>
          <w:tcPr>
            <w:tcW w:w="20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74563" w:rsidRDefault="00E17F2F" w:rsidP="00B67E81">
            <w:pPr>
              <w:jc w:val="center"/>
              <w:rPr>
                <w:rFonts w:ascii="Verdana" w:eastAsia="Verdana" w:hAnsi="Verdana" w:cs="Verdana"/>
                <w:color w:val="000000"/>
                <w:sz w:val="16"/>
                <w:szCs w:val="16"/>
              </w:rPr>
            </w:pPr>
            <w:r>
              <w:rPr>
                <w:rFonts w:ascii="Verdana" w:eastAsia="Verdana" w:hAnsi="Verdana" w:cs="Verdana"/>
                <w:color w:val="000000"/>
                <w:sz w:val="16"/>
                <w:szCs w:val="16"/>
              </w:rPr>
              <w:t>Governance</w:t>
            </w:r>
          </w:p>
        </w:tc>
      </w:tr>
    </w:tbl>
    <w:p w:rsidR="002617F1" w:rsidRDefault="002617F1" w:rsidP="002617F1">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097"/>
        <w:gridCol w:w="1538"/>
        <w:gridCol w:w="7406"/>
        <w:gridCol w:w="2039"/>
      </w:tblGrid>
      <w:tr w:rsidR="002617F1" w:rsidTr="00B67E81">
        <w:tc>
          <w:tcPr>
            <w:tcW w:w="15432" w:type="dxa"/>
            <w:gridSpan w:val="5"/>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567EF" w:rsidRDefault="002617F1" w:rsidP="00B67E81">
            <w:pPr>
              <w:rPr>
                <w:sz w:val="20"/>
              </w:rPr>
            </w:pPr>
            <w:r w:rsidRPr="009567EF">
              <w:rPr>
                <w:rFonts w:ascii="Verdana" w:eastAsia="Verdana" w:hAnsi="Verdana" w:cs="Verdana"/>
                <w:b/>
                <w:color w:val="000000"/>
                <w:sz w:val="20"/>
              </w:rPr>
              <w:t xml:space="preserve">Asset Business Plan – Asset Acquisition Strategy  </w:t>
            </w:r>
          </w:p>
        </w:tc>
      </w:tr>
      <w:tr w:rsidR="002617F1" w:rsidTr="00B67E81">
        <w:tc>
          <w:tcPr>
            <w:tcW w:w="15432" w:type="dxa"/>
            <w:gridSpan w:val="5"/>
            <w:tcBorders>
              <w:top w:val="single" w:sz="8" w:space="0" w:color="78786E"/>
              <w:left w:val="single" w:sz="8" w:space="0" w:color="78786E"/>
              <w:bottom w:val="single" w:sz="8" w:space="0" w:color="78786E"/>
              <w:right w:val="single" w:sz="8" w:space="0" w:color="78786E"/>
            </w:tcBorders>
            <w:shd w:val="clear" w:color="auto" w:fill="A9A9A9"/>
            <w:tcMar>
              <w:top w:w="40" w:type="dxa"/>
              <w:left w:w="40" w:type="dxa"/>
              <w:bottom w:w="40" w:type="dxa"/>
              <w:right w:w="40" w:type="dxa"/>
            </w:tcMar>
            <w:vAlign w:val="center"/>
          </w:tcPr>
          <w:p w:rsidR="002617F1" w:rsidRPr="009567EF" w:rsidRDefault="002617F1" w:rsidP="00B67E81">
            <w:pPr>
              <w:rPr>
                <w:rFonts w:ascii="Verdana" w:eastAsia="Verdana" w:hAnsi="Verdana" w:cs="Verdana"/>
                <w:b/>
                <w:color w:val="000000"/>
                <w:sz w:val="20"/>
              </w:rPr>
            </w:pPr>
            <w:r w:rsidRPr="009567EF">
              <w:rPr>
                <w:rFonts w:ascii="Verdana" w:eastAsia="Verdana" w:hAnsi="Verdana" w:cs="Verdana"/>
                <w:b/>
                <w:color w:val="000000"/>
                <w:sz w:val="20"/>
              </w:rPr>
              <w:t xml:space="preserve">'There is a risk that significant delays in acquiring new revenue producing assets will have a substantial impact on the Council's revenue position during the current MTFP / budget process’ </w:t>
            </w:r>
          </w:p>
        </w:tc>
      </w:tr>
      <w:tr w:rsidR="002617F1" w:rsidTr="00B67E81">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b/>
                <w:color w:val="000000"/>
              </w:rPr>
            </w:pPr>
            <w:r>
              <w:rPr>
                <w:rFonts w:ascii="Verdana" w:eastAsia="Verdana" w:hAnsi="Verdana" w:cs="Verdana"/>
                <w:color w:val="FFFFFF"/>
                <w:sz w:val="16"/>
              </w:rPr>
              <w:t xml:space="preserve"> </w:t>
            </w: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7513"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20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r>
      <w:tr w:rsidR="002617F1" w:rsidTr="00B67E81">
        <w:tc>
          <w:tcPr>
            <w:tcW w:w="2167"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color w:val="FFFFFF"/>
                <w:sz w:val="16"/>
                <w:szCs w:val="16"/>
              </w:rPr>
            </w:pPr>
            <w:r w:rsidRPr="0019695B">
              <w:rPr>
                <w:rFonts w:ascii="Verdana" w:eastAsia="Verdana" w:hAnsi="Verdana" w:cs="Verdana"/>
                <w:b/>
                <w:color w:val="000000"/>
                <w:sz w:val="16"/>
                <w:szCs w:val="16"/>
              </w:rPr>
              <w:t>Present and Previous Matrices</w:t>
            </w:r>
          </w:p>
        </w:tc>
        <w:tc>
          <w:tcPr>
            <w:tcW w:w="21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b/>
                <w:color w:val="000000"/>
                <w:sz w:val="16"/>
                <w:szCs w:val="16"/>
              </w:rPr>
              <w:t>Assessment Dates</w:t>
            </w:r>
          </w:p>
        </w:tc>
        <w:tc>
          <w:tcPr>
            <w:tcW w:w="1559"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b/>
                <w:color w:val="000000"/>
                <w:sz w:val="16"/>
                <w:szCs w:val="16"/>
              </w:rPr>
              <w:t>Present and Previous Risk Scores</w:t>
            </w:r>
          </w:p>
        </w:tc>
        <w:tc>
          <w:tcPr>
            <w:tcW w:w="7513"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b/>
                <w:color w:val="000000"/>
                <w:sz w:val="16"/>
                <w:szCs w:val="16"/>
              </w:rPr>
              <w:t>Current Action Status / Control Strategy</w:t>
            </w:r>
          </w:p>
        </w:tc>
        <w:tc>
          <w:tcPr>
            <w:tcW w:w="2067"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b/>
                <w:color w:val="000000"/>
                <w:sz w:val="16"/>
                <w:szCs w:val="16"/>
              </w:rPr>
              <w:t>Target Risk Matrix</w:t>
            </w:r>
          </w:p>
        </w:tc>
      </w:tr>
      <w:tr w:rsidR="002617F1" w:rsidTr="00B67E81">
        <w:tc>
          <w:tcPr>
            <w:tcW w:w="21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Default="002617F1" w:rsidP="00B67E81">
            <w:pPr>
              <w:jc w:val="center"/>
              <w:rPr>
                <w:rFonts w:ascii="Verdana" w:eastAsia="Verdana" w:hAnsi="Verdana" w:cs="Verdana"/>
                <w:noProof/>
                <w:color w:val="000000"/>
                <w:sz w:val="16"/>
                <w:szCs w:val="16"/>
              </w:rPr>
            </w:pPr>
          </w:p>
          <w:p w:rsidR="002617F1" w:rsidRPr="0019695B" w:rsidRDefault="009531DD" w:rsidP="009531DD">
            <w:pPr>
              <w:jc w:val="center"/>
              <w:rPr>
                <w:rFonts w:ascii="Verdana" w:eastAsia="Verdana" w:hAnsi="Verdana" w:cs="Verdana"/>
                <w:noProof/>
                <w:color w:val="000000"/>
                <w:sz w:val="16"/>
                <w:szCs w:val="16"/>
              </w:rPr>
            </w:pPr>
            <w:r w:rsidRPr="009531DD">
              <w:rPr>
                <w:rFonts w:ascii="Verdana" w:eastAsia="Verdana" w:hAnsi="Verdana" w:cs="Verdana"/>
                <w:noProof/>
                <w:color w:val="000000"/>
                <w:sz w:val="16"/>
                <w:szCs w:val="16"/>
              </w:rPr>
              <w:drawing>
                <wp:inline distT="0" distB="0" distL="0" distR="0">
                  <wp:extent cx="847725" cy="8286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8455E" w:rsidRDefault="00C8455E" w:rsidP="00B67E81">
            <w:pPr>
              <w:jc w:val="center"/>
              <w:rPr>
                <w:rFonts w:ascii="Verdana" w:eastAsia="Verdana" w:hAnsi="Verdana" w:cs="Verdana"/>
                <w:color w:val="000000"/>
                <w:sz w:val="18"/>
                <w:szCs w:val="18"/>
              </w:rPr>
            </w:pPr>
            <w:r w:rsidRPr="00C8455E">
              <w:rPr>
                <w:rFonts w:ascii="Verdana" w:eastAsia="Verdana" w:hAnsi="Verdana" w:cs="Verdana"/>
                <w:color w:val="000000"/>
                <w:sz w:val="18"/>
                <w:szCs w:val="18"/>
              </w:rPr>
              <w:t>26-Aug-2015</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8455E" w:rsidRDefault="002617F1" w:rsidP="00B67E81">
            <w:pPr>
              <w:jc w:val="center"/>
              <w:rPr>
                <w:rFonts w:ascii="Verdana" w:eastAsia="Verdana" w:hAnsi="Verdana" w:cs="Verdana"/>
                <w:color w:val="000000"/>
                <w:sz w:val="18"/>
                <w:szCs w:val="18"/>
              </w:rPr>
            </w:pPr>
            <w:r w:rsidRPr="00C8455E">
              <w:rPr>
                <w:rFonts w:ascii="Verdana" w:eastAsia="Verdana" w:hAnsi="Verdana" w:cs="Verdana"/>
                <w:color w:val="000000"/>
                <w:sz w:val="18"/>
                <w:szCs w:val="18"/>
              </w:rPr>
              <w:t>6</w:t>
            </w:r>
          </w:p>
        </w:tc>
        <w:tc>
          <w:tcPr>
            <w:tcW w:w="751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B52BB" w:rsidRPr="00914FCF" w:rsidRDefault="00EB52BB" w:rsidP="00B67E81">
            <w:pPr>
              <w:rPr>
                <w:rFonts w:ascii="Verdana" w:eastAsia="Verdana" w:hAnsi="Verdana" w:cs="Verdana"/>
                <w:b/>
                <w:i/>
                <w:sz w:val="18"/>
                <w:szCs w:val="18"/>
              </w:rPr>
            </w:pPr>
            <w:r w:rsidRPr="00914FCF">
              <w:rPr>
                <w:rFonts w:ascii="Verdana" w:eastAsia="Verdana" w:hAnsi="Verdana" w:cs="Verdana"/>
                <w:b/>
                <w:i/>
                <w:sz w:val="18"/>
                <w:szCs w:val="18"/>
              </w:rPr>
              <w:t>Recent progress and further mitigating action to be taken</w:t>
            </w:r>
          </w:p>
          <w:p w:rsidR="002617F1" w:rsidRPr="00914FCF" w:rsidRDefault="00292579" w:rsidP="00B67E81">
            <w:pPr>
              <w:rPr>
                <w:rFonts w:ascii="Verdana" w:eastAsia="Verdana" w:hAnsi="Verdana" w:cs="Verdana"/>
                <w:i/>
                <w:sz w:val="18"/>
                <w:szCs w:val="18"/>
              </w:rPr>
            </w:pPr>
            <w:r w:rsidRPr="00914FCF">
              <w:rPr>
                <w:rFonts w:ascii="Verdana" w:eastAsia="Verdana" w:hAnsi="Verdana" w:cs="Verdana"/>
                <w:i/>
                <w:sz w:val="18"/>
                <w:szCs w:val="18"/>
              </w:rPr>
              <w:t xml:space="preserve">This risk is linked to the Asset Disposal risk and progress is intrinsically linked </w:t>
            </w:r>
            <w:r w:rsidR="00AA7AB0" w:rsidRPr="00914FCF">
              <w:rPr>
                <w:rFonts w:ascii="Verdana" w:eastAsia="Verdana" w:hAnsi="Verdana" w:cs="Verdana"/>
                <w:i/>
                <w:sz w:val="18"/>
                <w:szCs w:val="18"/>
              </w:rPr>
              <w:t>to</w:t>
            </w:r>
            <w:r w:rsidRPr="00914FCF">
              <w:rPr>
                <w:rFonts w:ascii="Verdana" w:eastAsia="Verdana" w:hAnsi="Verdana" w:cs="Verdana"/>
                <w:i/>
                <w:sz w:val="18"/>
                <w:szCs w:val="18"/>
              </w:rPr>
              <w:t xml:space="preserve"> the work of the internal Asset Disposal Working Group.</w:t>
            </w:r>
          </w:p>
          <w:p w:rsidR="00292579" w:rsidRPr="00914FCF" w:rsidRDefault="00292579" w:rsidP="00B67E81">
            <w:pPr>
              <w:rPr>
                <w:rFonts w:ascii="Verdana" w:eastAsia="Verdana" w:hAnsi="Verdana" w:cs="Verdana"/>
                <w:i/>
                <w:sz w:val="18"/>
                <w:szCs w:val="18"/>
              </w:rPr>
            </w:pPr>
            <w:r w:rsidRPr="00914FCF">
              <w:rPr>
                <w:rFonts w:ascii="Verdana" w:eastAsia="Verdana" w:hAnsi="Verdana" w:cs="Verdana"/>
                <w:i/>
                <w:sz w:val="18"/>
                <w:szCs w:val="18"/>
              </w:rPr>
              <w:t>Opportunities continue to be identified and progressed to generate revenue return from asset reinvestment to meet the requirements of the MTFP.</w:t>
            </w:r>
          </w:p>
          <w:p w:rsidR="002617F1" w:rsidRPr="00292579" w:rsidRDefault="002617F1" w:rsidP="00B67E81">
            <w:pPr>
              <w:rPr>
                <w:rFonts w:ascii="Verdana" w:eastAsia="Verdana" w:hAnsi="Verdana" w:cs="Verdana"/>
                <w:i/>
                <w:color w:val="FF0000"/>
                <w:sz w:val="18"/>
                <w:szCs w:val="18"/>
              </w:rPr>
            </w:pPr>
          </w:p>
          <w:p w:rsidR="002617F1" w:rsidRPr="00C8455E" w:rsidRDefault="002617F1" w:rsidP="00B67E81">
            <w:pPr>
              <w:rPr>
                <w:rFonts w:ascii="Verdana" w:eastAsia="Verdana" w:hAnsi="Verdana" w:cs="Verdana"/>
                <w:color w:val="000000"/>
                <w:sz w:val="18"/>
                <w:szCs w:val="18"/>
              </w:rPr>
            </w:pPr>
          </w:p>
        </w:tc>
        <w:tc>
          <w:tcPr>
            <w:tcW w:w="2067"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color w:val="000000"/>
                <w:sz w:val="16"/>
                <w:szCs w:val="16"/>
              </w:rPr>
            </w:pPr>
            <w:r w:rsidRPr="0019695B">
              <w:rPr>
                <w:rFonts w:ascii="Verdana" w:eastAsia="Verdana" w:hAnsi="Verdana" w:cs="Verdana"/>
                <w:noProof/>
                <w:color w:val="000000"/>
                <w:sz w:val="16"/>
                <w:szCs w:val="16"/>
              </w:rPr>
              <w:drawing>
                <wp:inline distT="0" distB="0" distL="0" distR="0" wp14:anchorId="619B9435" wp14:editId="28919371">
                  <wp:extent cx="850900" cy="825500"/>
                  <wp:effectExtent l="19050" t="0" r="635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850900" cy="825500"/>
                          </a:xfrm>
                          <a:prstGeom prst="rect">
                            <a:avLst/>
                          </a:prstGeom>
                          <a:noFill/>
                          <a:ln w="9525">
                            <a:noFill/>
                            <a:miter lim="800000"/>
                            <a:headEnd/>
                            <a:tailEnd/>
                          </a:ln>
                        </pic:spPr>
                      </pic:pic>
                    </a:graphicData>
                  </a:graphic>
                </wp:inline>
              </w:drawing>
            </w:r>
          </w:p>
          <w:p w:rsidR="002617F1" w:rsidRPr="0019695B" w:rsidRDefault="002617F1" w:rsidP="00B67E81">
            <w:pPr>
              <w:jc w:val="center"/>
              <w:rPr>
                <w:rFonts w:ascii="Verdana" w:eastAsia="Verdana" w:hAnsi="Verdana" w:cs="Verdana"/>
                <w:color w:val="000000"/>
                <w:sz w:val="16"/>
                <w:szCs w:val="16"/>
              </w:rPr>
            </w:pPr>
          </w:p>
        </w:tc>
      </w:tr>
      <w:tr w:rsidR="002617F1" w:rsidTr="00B67E81">
        <w:tc>
          <w:tcPr>
            <w:tcW w:w="21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B2472" w:rsidRDefault="002617F1" w:rsidP="00B67E81">
            <w:pPr>
              <w:jc w:val="center"/>
              <w:rPr>
                <w:rFonts w:ascii="Verdana" w:eastAsia="Verdana" w:hAnsi="Verdana" w:cs="Verdana"/>
                <w:color w:val="000000"/>
                <w:sz w:val="16"/>
                <w:szCs w:val="16"/>
              </w:rPr>
            </w:pPr>
            <w:r w:rsidRPr="001B2472">
              <w:rPr>
                <w:rFonts w:ascii="Verdana" w:eastAsia="Verdana" w:hAnsi="Verdana" w:cs="Verdana"/>
                <w:noProof/>
                <w:color w:val="000000"/>
                <w:sz w:val="16"/>
                <w:szCs w:val="16"/>
              </w:rPr>
              <w:drawing>
                <wp:inline distT="0" distB="0" distL="0" distR="0" wp14:anchorId="73D215E3" wp14:editId="5D9E9C60">
                  <wp:extent cx="847725" cy="828675"/>
                  <wp:effectExtent l="19050" t="0" r="9525"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8455E" w:rsidRDefault="00E17F2F"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20-May-2015</w:t>
            </w:r>
          </w:p>
        </w:tc>
        <w:tc>
          <w:tcPr>
            <w:tcW w:w="155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8455E" w:rsidRDefault="002617F1" w:rsidP="00B67E81">
            <w:pPr>
              <w:jc w:val="center"/>
              <w:rPr>
                <w:rFonts w:ascii="Verdana" w:eastAsia="Verdana" w:hAnsi="Verdana" w:cs="Verdana"/>
                <w:color w:val="000000"/>
                <w:sz w:val="18"/>
                <w:szCs w:val="18"/>
              </w:rPr>
            </w:pPr>
            <w:r w:rsidRPr="00C8455E">
              <w:rPr>
                <w:rFonts w:ascii="Verdana" w:eastAsia="Verdana" w:hAnsi="Verdana" w:cs="Verdana"/>
                <w:color w:val="000000"/>
                <w:sz w:val="18"/>
                <w:szCs w:val="18"/>
              </w:rPr>
              <w:t>6</w:t>
            </w:r>
          </w:p>
        </w:tc>
        <w:tc>
          <w:tcPr>
            <w:tcW w:w="751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C8455E" w:rsidRDefault="002617F1" w:rsidP="00B67E81">
            <w:pPr>
              <w:rPr>
                <w:rFonts w:ascii="Verdana" w:eastAsia="Verdana" w:hAnsi="Verdana" w:cs="Verdana"/>
                <w:color w:val="000000"/>
                <w:sz w:val="18"/>
                <w:szCs w:val="18"/>
              </w:rPr>
            </w:pPr>
          </w:p>
        </w:tc>
        <w:tc>
          <w:tcPr>
            <w:tcW w:w="2067"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color w:val="000000"/>
                <w:sz w:val="16"/>
                <w:szCs w:val="16"/>
              </w:rPr>
            </w:pPr>
          </w:p>
        </w:tc>
      </w:tr>
      <w:tr w:rsidR="002617F1" w:rsidTr="00B67E81">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000000"/>
                <w:sz w:val="16"/>
                <w:szCs w:val="16"/>
              </w:rPr>
            </w:pPr>
            <w:r w:rsidRPr="0019695B">
              <w:rPr>
                <w:rFonts w:ascii="Verdana" w:eastAsia="Verdana" w:hAnsi="Verdana" w:cs="Verdana"/>
                <w:color w:val="FFFFFF"/>
                <w:sz w:val="16"/>
                <w:szCs w:val="16"/>
              </w:rPr>
              <w:t xml:space="preserve"> </w:t>
            </w: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color w:val="FFFFFF"/>
                <w:sz w:val="16"/>
                <w:szCs w:val="16"/>
              </w:rPr>
              <w:t xml:space="preserve"> </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color w:val="FFFFFF"/>
                <w:sz w:val="16"/>
                <w:szCs w:val="16"/>
              </w:rPr>
              <w:t xml:space="preserve"> </w:t>
            </w:r>
          </w:p>
        </w:tc>
        <w:tc>
          <w:tcPr>
            <w:tcW w:w="7513"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p>
        </w:tc>
        <w:tc>
          <w:tcPr>
            <w:tcW w:w="20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p>
        </w:tc>
      </w:tr>
      <w:tr w:rsidR="002617F1" w:rsidTr="00B67E81">
        <w:tc>
          <w:tcPr>
            <w:tcW w:w="21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19695B" w:rsidRDefault="002617F1" w:rsidP="00B67E81">
            <w:pPr>
              <w:rPr>
                <w:rFonts w:ascii="Verdana" w:eastAsia="Verdana" w:hAnsi="Verdana" w:cs="Verdana"/>
                <w:color w:val="FFFFFF"/>
                <w:sz w:val="16"/>
                <w:szCs w:val="16"/>
              </w:rPr>
            </w:pPr>
            <w:r w:rsidRPr="0019695B">
              <w:rPr>
                <w:rFonts w:ascii="Verdana" w:eastAsia="Verdana" w:hAnsi="Verdana" w:cs="Verdana"/>
                <w:b/>
                <w:color w:val="000000"/>
                <w:sz w:val="16"/>
                <w:szCs w:val="16"/>
              </w:rPr>
              <w:t>Current Impact Description</w:t>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color w:val="000000"/>
                <w:sz w:val="16"/>
                <w:szCs w:val="16"/>
              </w:rPr>
              <w:t>High</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000000"/>
                <w:sz w:val="16"/>
                <w:szCs w:val="16"/>
              </w:rPr>
            </w:pPr>
            <w:r w:rsidRPr="0019695B">
              <w:rPr>
                <w:rFonts w:ascii="Verdana" w:eastAsia="Verdana" w:hAnsi="Verdana" w:cs="Verdana"/>
                <w:color w:val="FFFFFF"/>
                <w:sz w:val="16"/>
                <w:szCs w:val="16"/>
              </w:rPr>
              <w:t xml:space="preserve"> </w:t>
            </w:r>
          </w:p>
        </w:tc>
        <w:tc>
          <w:tcPr>
            <w:tcW w:w="7513"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b/>
                <w:color w:val="000000"/>
                <w:sz w:val="16"/>
                <w:szCs w:val="16"/>
              </w:rPr>
              <w:t>Target Risk Date</w:t>
            </w:r>
          </w:p>
        </w:tc>
        <w:tc>
          <w:tcPr>
            <w:tcW w:w="20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color w:val="000000"/>
                <w:sz w:val="16"/>
                <w:szCs w:val="16"/>
              </w:rPr>
              <w:t>01-Apr-2016</w:t>
            </w:r>
          </w:p>
        </w:tc>
      </w:tr>
      <w:tr w:rsidR="002617F1" w:rsidTr="00B67E81">
        <w:tc>
          <w:tcPr>
            <w:tcW w:w="21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19695B" w:rsidRDefault="002617F1" w:rsidP="00B67E81">
            <w:pPr>
              <w:rPr>
                <w:rFonts w:ascii="Verdana" w:eastAsia="Verdana" w:hAnsi="Verdana" w:cs="Verdana"/>
                <w:color w:val="000000"/>
                <w:sz w:val="16"/>
                <w:szCs w:val="16"/>
              </w:rPr>
            </w:pPr>
            <w:r w:rsidRPr="0019695B">
              <w:rPr>
                <w:rFonts w:ascii="Verdana" w:eastAsia="Verdana" w:hAnsi="Verdana" w:cs="Verdana"/>
                <w:b/>
                <w:color w:val="000000"/>
                <w:sz w:val="16"/>
                <w:szCs w:val="16"/>
              </w:rPr>
              <w:t>Current Likelihood Description</w:t>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color w:val="000000"/>
                <w:sz w:val="16"/>
                <w:szCs w:val="16"/>
              </w:rPr>
              <w:t>Remote</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000000"/>
                <w:sz w:val="16"/>
                <w:szCs w:val="16"/>
              </w:rPr>
            </w:pPr>
            <w:r w:rsidRPr="0019695B">
              <w:rPr>
                <w:rFonts w:ascii="Verdana" w:eastAsia="Verdana" w:hAnsi="Verdana" w:cs="Verdana"/>
                <w:color w:val="FFFFFF"/>
                <w:sz w:val="16"/>
                <w:szCs w:val="16"/>
              </w:rPr>
              <w:t xml:space="preserve"> </w:t>
            </w:r>
          </w:p>
        </w:tc>
        <w:tc>
          <w:tcPr>
            <w:tcW w:w="7513"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b/>
                <w:color w:val="000000"/>
                <w:sz w:val="16"/>
                <w:szCs w:val="16"/>
              </w:rPr>
              <w:t>Target Risk Score</w:t>
            </w:r>
          </w:p>
        </w:tc>
        <w:tc>
          <w:tcPr>
            <w:tcW w:w="20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color w:val="000000"/>
                <w:sz w:val="16"/>
                <w:szCs w:val="16"/>
              </w:rPr>
              <w:t>3</w:t>
            </w:r>
          </w:p>
        </w:tc>
      </w:tr>
      <w:tr w:rsidR="002617F1" w:rsidTr="00B67E81">
        <w:tc>
          <w:tcPr>
            <w:tcW w:w="21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19695B" w:rsidRDefault="002617F1" w:rsidP="00B67E81">
            <w:pPr>
              <w:rPr>
                <w:rFonts w:ascii="Verdana" w:eastAsia="Verdana" w:hAnsi="Verdana" w:cs="Verdana"/>
                <w:color w:val="000000"/>
                <w:sz w:val="16"/>
                <w:szCs w:val="16"/>
              </w:rPr>
            </w:pPr>
            <w:r w:rsidRPr="0019695B">
              <w:rPr>
                <w:rFonts w:ascii="Verdana" w:eastAsia="Verdana" w:hAnsi="Verdana" w:cs="Verdana"/>
                <w:b/>
                <w:color w:val="000000"/>
                <w:sz w:val="16"/>
                <w:szCs w:val="16"/>
              </w:rPr>
              <w:t>Risk Score</w:t>
            </w:r>
          </w:p>
        </w:tc>
        <w:tc>
          <w:tcPr>
            <w:tcW w:w="21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color w:val="000000"/>
                <w:sz w:val="16"/>
                <w:szCs w:val="16"/>
              </w:rPr>
              <w:t>6</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000000"/>
                <w:sz w:val="16"/>
                <w:szCs w:val="16"/>
              </w:rPr>
            </w:pPr>
            <w:r w:rsidRPr="0019695B">
              <w:rPr>
                <w:rFonts w:ascii="Verdana" w:eastAsia="Verdana" w:hAnsi="Verdana" w:cs="Verdana"/>
                <w:color w:val="FFFFFF"/>
                <w:sz w:val="16"/>
                <w:szCs w:val="16"/>
              </w:rPr>
              <w:t xml:space="preserve"> </w:t>
            </w:r>
          </w:p>
        </w:tc>
        <w:tc>
          <w:tcPr>
            <w:tcW w:w="7513"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p>
        </w:tc>
        <w:tc>
          <w:tcPr>
            <w:tcW w:w="20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p>
        </w:tc>
      </w:tr>
      <w:tr w:rsidR="002617F1" w:rsidTr="00B67E81">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color w:val="FFFFFF"/>
                <w:sz w:val="16"/>
                <w:szCs w:val="16"/>
              </w:rPr>
              <w:t xml:space="preserve"> </w:t>
            </w: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color w:val="FFFFFF"/>
                <w:sz w:val="16"/>
                <w:szCs w:val="16"/>
              </w:rPr>
              <w:t xml:space="preserve"> </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color w:val="FFFFFF"/>
                <w:sz w:val="16"/>
                <w:szCs w:val="16"/>
              </w:rPr>
              <w:t xml:space="preserve"> </w:t>
            </w:r>
          </w:p>
        </w:tc>
        <w:tc>
          <w:tcPr>
            <w:tcW w:w="7513"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b/>
                <w:color w:val="000000"/>
                <w:sz w:val="16"/>
                <w:szCs w:val="16"/>
              </w:rPr>
              <w:t>Lead Officer</w:t>
            </w:r>
          </w:p>
        </w:tc>
        <w:tc>
          <w:tcPr>
            <w:tcW w:w="20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color w:val="000000"/>
                <w:sz w:val="16"/>
                <w:szCs w:val="16"/>
              </w:rPr>
              <w:t>Mark Lambert</w:t>
            </w:r>
          </w:p>
        </w:tc>
      </w:tr>
      <w:tr w:rsidR="002617F1" w:rsidRPr="00C40C6A" w:rsidTr="00B67E81">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000000"/>
                <w:sz w:val="16"/>
                <w:szCs w:val="16"/>
              </w:rPr>
            </w:pPr>
            <w:r w:rsidRPr="0019695B">
              <w:rPr>
                <w:rFonts w:ascii="Verdana" w:eastAsia="Verdana" w:hAnsi="Verdana" w:cs="Verdana"/>
                <w:color w:val="FFFFFF"/>
                <w:sz w:val="16"/>
                <w:szCs w:val="16"/>
              </w:rPr>
              <w:t xml:space="preserve"> </w:t>
            </w: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color w:val="FFFFFF"/>
                <w:sz w:val="16"/>
                <w:szCs w:val="16"/>
              </w:rPr>
              <w:t xml:space="preserve"> </w:t>
            </w: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color w:val="FFFFFF"/>
                <w:sz w:val="16"/>
                <w:szCs w:val="16"/>
              </w:rPr>
              <w:t xml:space="preserve"> </w:t>
            </w:r>
          </w:p>
        </w:tc>
        <w:tc>
          <w:tcPr>
            <w:tcW w:w="7513"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r w:rsidRPr="0019695B">
              <w:rPr>
                <w:rFonts w:ascii="Verdana" w:eastAsia="Verdana" w:hAnsi="Verdana" w:cs="Verdana"/>
                <w:b/>
                <w:color w:val="000000"/>
                <w:sz w:val="16"/>
                <w:szCs w:val="16"/>
              </w:rPr>
              <w:t>Portfolio Holder</w:t>
            </w:r>
          </w:p>
        </w:tc>
        <w:tc>
          <w:tcPr>
            <w:tcW w:w="20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2617F1" w:rsidP="00B67E81">
            <w:pPr>
              <w:jc w:val="center"/>
              <w:rPr>
                <w:rFonts w:ascii="Verdana" w:eastAsia="Verdana" w:hAnsi="Verdana" w:cs="Verdana"/>
                <w:b/>
                <w:color w:val="000000"/>
                <w:sz w:val="16"/>
                <w:szCs w:val="16"/>
              </w:rPr>
            </w:pPr>
            <w:r w:rsidRPr="0019695B">
              <w:rPr>
                <w:rFonts w:ascii="Verdana" w:eastAsia="Verdana" w:hAnsi="Verdana" w:cs="Verdana"/>
                <w:color w:val="000000"/>
                <w:sz w:val="16"/>
                <w:szCs w:val="16"/>
              </w:rPr>
              <w:t>Councillor Tickner</w:t>
            </w:r>
          </w:p>
        </w:tc>
      </w:tr>
      <w:tr w:rsidR="002617F1" w:rsidRPr="00C40C6A" w:rsidTr="00B67E81">
        <w:tc>
          <w:tcPr>
            <w:tcW w:w="2167"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p>
        </w:tc>
        <w:tc>
          <w:tcPr>
            <w:tcW w:w="21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p>
        </w:tc>
        <w:tc>
          <w:tcPr>
            <w:tcW w:w="1559"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color w:val="FFFFFF"/>
                <w:sz w:val="16"/>
                <w:szCs w:val="16"/>
              </w:rPr>
            </w:pPr>
          </w:p>
        </w:tc>
        <w:tc>
          <w:tcPr>
            <w:tcW w:w="7513"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9695B" w:rsidRDefault="002617F1" w:rsidP="00B67E81">
            <w:pPr>
              <w:jc w:val="right"/>
              <w:rPr>
                <w:rFonts w:ascii="Verdana" w:eastAsia="Verdana" w:hAnsi="Verdana" w:cs="Verdana"/>
                <w:b/>
                <w:color w:val="000000"/>
                <w:sz w:val="16"/>
                <w:szCs w:val="16"/>
              </w:rPr>
            </w:pPr>
            <w:r w:rsidRPr="0019695B">
              <w:rPr>
                <w:rFonts w:ascii="Verdana" w:eastAsia="Verdana" w:hAnsi="Verdana" w:cs="Verdana"/>
                <w:b/>
                <w:color w:val="000000"/>
                <w:sz w:val="16"/>
                <w:szCs w:val="16"/>
              </w:rPr>
              <w:t>Overview and Scrutiny Panel</w:t>
            </w:r>
          </w:p>
        </w:tc>
        <w:tc>
          <w:tcPr>
            <w:tcW w:w="20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9695B" w:rsidRDefault="00E17F2F" w:rsidP="00B67E81">
            <w:pPr>
              <w:jc w:val="center"/>
              <w:rPr>
                <w:rFonts w:ascii="Verdana" w:eastAsia="Verdana" w:hAnsi="Verdana" w:cs="Verdana"/>
                <w:color w:val="000000"/>
                <w:sz w:val="16"/>
                <w:szCs w:val="16"/>
              </w:rPr>
            </w:pPr>
            <w:r>
              <w:rPr>
                <w:rFonts w:ascii="Verdana" w:eastAsia="Verdana" w:hAnsi="Verdana" w:cs="Verdana"/>
                <w:color w:val="000000"/>
                <w:sz w:val="16"/>
                <w:szCs w:val="16"/>
              </w:rPr>
              <w:t>Governance</w:t>
            </w:r>
          </w:p>
        </w:tc>
      </w:tr>
    </w:tbl>
    <w:p w:rsidR="002617F1" w:rsidRDefault="002617F1" w:rsidP="002617F1">
      <w:pPr>
        <w:rPr>
          <w:rFonts w:cs="Arial"/>
          <w:b/>
          <w:sz w:val="22"/>
          <w:szCs w:val="22"/>
        </w:rPr>
      </w:pPr>
    </w:p>
    <w:p w:rsidR="002617F1" w:rsidRDefault="002617F1" w:rsidP="002617F1">
      <w:pPr>
        <w:rPr>
          <w:rFonts w:cs="Arial"/>
          <w:b/>
          <w:sz w:val="22"/>
          <w:szCs w:val="22"/>
        </w:rPr>
      </w:pPr>
    </w:p>
    <w:p w:rsidR="002617F1" w:rsidRDefault="002617F1" w:rsidP="002617F1">
      <w:pPr>
        <w:rPr>
          <w:rFonts w:cs="Arial"/>
          <w:b/>
          <w:sz w:val="22"/>
          <w:szCs w:val="22"/>
        </w:rPr>
      </w:pPr>
    </w:p>
    <w:p w:rsidR="002617F1" w:rsidRDefault="002617F1" w:rsidP="002617F1">
      <w:pPr>
        <w:rPr>
          <w:rFonts w:cs="Arial"/>
          <w:b/>
          <w:sz w:val="22"/>
          <w:szCs w:val="22"/>
        </w:rPr>
      </w:pPr>
    </w:p>
    <w:p w:rsidR="002617F1" w:rsidRDefault="002617F1" w:rsidP="002617F1">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539"/>
        <w:gridCol w:w="1677"/>
        <w:gridCol w:w="8798"/>
        <w:gridCol w:w="1485"/>
      </w:tblGrid>
      <w:tr w:rsidR="002617F1" w:rsidTr="00B67E81">
        <w:tc>
          <w:tcPr>
            <w:tcW w:w="15432" w:type="dxa"/>
            <w:gridSpan w:val="5"/>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07DDF" w:rsidRDefault="002617F1" w:rsidP="00B67E81">
            <w:pPr>
              <w:rPr>
                <w:sz w:val="20"/>
              </w:rPr>
            </w:pPr>
            <w:r w:rsidRPr="00107DDF">
              <w:rPr>
                <w:rFonts w:ascii="Verdana" w:eastAsia="Verdana" w:hAnsi="Verdana" w:cs="Verdana"/>
                <w:b/>
                <w:color w:val="000000"/>
                <w:sz w:val="20"/>
              </w:rPr>
              <w:t xml:space="preserve">Delivering the </w:t>
            </w:r>
            <w:r w:rsidR="00EB52BB" w:rsidRPr="00914FCF">
              <w:rPr>
                <w:rFonts w:ascii="Verdana" w:eastAsia="Verdana" w:hAnsi="Verdana" w:cs="Verdana"/>
                <w:b/>
                <w:i/>
                <w:sz w:val="20"/>
              </w:rPr>
              <w:t>current</w:t>
            </w:r>
            <w:r w:rsidR="00EB52BB" w:rsidRPr="00EB52BB">
              <w:rPr>
                <w:rFonts w:ascii="Verdana" w:eastAsia="Verdana" w:hAnsi="Verdana" w:cs="Verdana"/>
                <w:b/>
                <w:i/>
                <w:color w:val="FF0000"/>
                <w:sz w:val="20"/>
              </w:rPr>
              <w:t xml:space="preserve"> </w:t>
            </w:r>
            <w:r w:rsidRPr="00107DDF">
              <w:rPr>
                <w:rFonts w:ascii="Verdana" w:eastAsia="Verdana" w:hAnsi="Verdana" w:cs="Verdana"/>
                <w:b/>
                <w:color w:val="000000"/>
                <w:sz w:val="20"/>
              </w:rPr>
              <w:t>Carlisle Plan</w:t>
            </w:r>
          </w:p>
        </w:tc>
      </w:tr>
      <w:tr w:rsidR="002617F1" w:rsidTr="00B67E81">
        <w:tc>
          <w:tcPr>
            <w:tcW w:w="15432" w:type="dxa"/>
            <w:gridSpan w:val="5"/>
            <w:tcBorders>
              <w:top w:val="single" w:sz="8" w:space="0" w:color="78786E"/>
              <w:left w:val="single" w:sz="8" w:space="0" w:color="78786E"/>
              <w:bottom w:val="single" w:sz="8" w:space="0" w:color="78786E"/>
              <w:right w:val="single" w:sz="8" w:space="0" w:color="78786E"/>
            </w:tcBorders>
            <w:shd w:val="clear" w:color="auto" w:fill="A9A9A9"/>
            <w:tcMar>
              <w:top w:w="40" w:type="dxa"/>
              <w:left w:w="40" w:type="dxa"/>
              <w:bottom w:w="40" w:type="dxa"/>
              <w:right w:w="40" w:type="dxa"/>
            </w:tcMar>
            <w:vAlign w:val="center"/>
          </w:tcPr>
          <w:p w:rsidR="002617F1" w:rsidRPr="00107DDF" w:rsidRDefault="002617F1" w:rsidP="00B67E81">
            <w:pPr>
              <w:rPr>
                <w:rFonts w:ascii="Verdana" w:eastAsia="Verdana" w:hAnsi="Verdana" w:cs="Verdana"/>
                <w:b/>
                <w:color w:val="000000"/>
                <w:sz w:val="20"/>
              </w:rPr>
            </w:pPr>
            <w:r w:rsidRPr="00107DDF">
              <w:rPr>
                <w:rFonts w:ascii="Verdana" w:eastAsia="Verdana" w:hAnsi="Verdana" w:cs="Verdana"/>
                <w:b/>
                <w:color w:val="000000"/>
                <w:sz w:val="20"/>
              </w:rPr>
              <w:t>'There is a risk that we don't have the optimum balance of resources targeted to deliver the activities and projects delivering the Carlisle Plan’</w:t>
            </w:r>
          </w:p>
        </w:tc>
      </w:tr>
      <w:tr w:rsidR="002617F1" w:rsidTr="00B67E81">
        <w:tc>
          <w:tcPr>
            <w:tcW w:w="1741"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b/>
                <w:color w:val="000000"/>
              </w:rPr>
            </w:pPr>
            <w:r>
              <w:rPr>
                <w:rFonts w:ascii="Verdana" w:eastAsia="Verdana" w:hAnsi="Verdana" w:cs="Verdana"/>
                <w:color w:val="FFFFFF"/>
                <w:sz w:val="16"/>
              </w:rPr>
              <w:t xml:space="preserve"> </w:t>
            </w:r>
          </w:p>
        </w:tc>
        <w:tc>
          <w:tcPr>
            <w:tcW w:w="156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89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0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r>
      <w:tr w:rsidR="002617F1" w:rsidRPr="009940DD" w:rsidTr="00B67E81">
        <w:tc>
          <w:tcPr>
            <w:tcW w:w="1741"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color w:val="FFFFFF"/>
                <w:sz w:val="16"/>
                <w:szCs w:val="16"/>
              </w:rPr>
            </w:pPr>
            <w:r w:rsidRPr="009940DD">
              <w:rPr>
                <w:rFonts w:ascii="Verdana" w:eastAsia="Verdana" w:hAnsi="Verdana" w:cs="Verdana"/>
                <w:b/>
                <w:color w:val="000000"/>
                <w:sz w:val="16"/>
                <w:szCs w:val="16"/>
              </w:rPr>
              <w:t>Present and Previous Matrices</w:t>
            </w:r>
          </w:p>
        </w:tc>
        <w:tc>
          <w:tcPr>
            <w:tcW w:w="1560"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b/>
                <w:color w:val="000000"/>
                <w:sz w:val="16"/>
                <w:szCs w:val="16"/>
              </w:rPr>
              <w:t>Assessment Dates</w:t>
            </w:r>
          </w:p>
        </w:tc>
        <w:tc>
          <w:tcPr>
            <w:tcW w:w="1700"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b/>
                <w:color w:val="000000"/>
                <w:sz w:val="16"/>
                <w:szCs w:val="16"/>
              </w:rPr>
              <w:t>Present and Previous Risk Scores</w:t>
            </w:r>
          </w:p>
        </w:tc>
        <w:tc>
          <w:tcPr>
            <w:tcW w:w="89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b/>
                <w:color w:val="000000"/>
                <w:sz w:val="16"/>
                <w:szCs w:val="16"/>
              </w:rPr>
              <w:t>Current Action Status / Control Strategy</w:t>
            </w:r>
          </w:p>
        </w:tc>
        <w:tc>
          <w:tcPr>
            <w:tcW w:w="1505"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b/>
                <w:color w:val="000000"/>
                <w:sz w:val="16"/>
                <w:szCs w:val="16"/>
              </w:rPr>
              <w:t>Target Risk Matrix</w:t>
            </w:r>
          </w:p>
        </w:tc>
      </w:tr>
      <w:tr w:rsidR="002617F1" w:rsidRPr="009940DD" w:rsidTr="009531DD">
        <w:trPr>
          <w:trHeight w:val="1882"/>
        </w:trPr>
        <w:tc>
          <w:tcPr>
            <w:tcW w:w="17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Default="002617F1" w:rsidP="009531DD">
            <w:pPr>
              <w:rPr>
                <w:rFonts w:ascii="Verdana" w:eastAsia="Verdana" w:hAnsi="Verdana" w:cs="Verdana"/>
                <w:color w:val="000000"/>
                <w:sz w:val="16"/>
                <w:szCs w:val="16"/>
              </w:rPr>
            </w:pPr>
          </w:p>
          <w:p w:rsidR="002617F1" w:rsidRPr="009940DD" w:rsidRDefault="009531DD" w:rsidP="009531DD">
            <w:pPr>
              <w:jc w:val="center"/>
              <w:rPr>
                <w:rFonts w:ascii="Verdana" w:eastAsia="Verdana" w:hAnsi="Verdana" w:cs="Verdana"/>
                <w:color w:val="000000"/>
                <w:sz w:val="16"/>
                <w:szCs w:val="16"/>
              </w:rPr>
            </w:pPr>
            <w:r w:rsidRPr="009531DD">
              <w:rPr>
                <w:rFonts w:ascii="Verdana" w:eastAsia="Verdana" w:hAnsi="Verdana" w:cs="Verdana"/>
                <w:noProof/>
                <w:color w:val="000000"/>
                <w:sz w:val="16"/>
                <w:szCs w:val="16"/>
              </w:rPr>
              <w:drawing>
                <wp:inline distT="0" distB="0" distL="0" distR="0" wp14:anchorId="4E429BF0" wp14:editId="6C652738">
                  <wp:extent cx="847725" cy="828675"/>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156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C8455E"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26-Aug-2015</w:t>
            </w:r>
          </w:p>
        </w:tc>
        <w:tc>
          <w:tcPr>
            <w:tcW w:w="170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2617F1"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9</w:t>
            </w:r>
          </w:p>
        </w:tc>
        <w:tc>
          <w:tcPr>
            <w:tcW w:w="8926"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B52BB" w:rsidRPr="00914FCF" w:rsidRDefault="00EB52BB" w:rsidP="00C268A2">
            <w:pPr>
              <w:rPr>
                <w:rFonts w:ascii="Verdana" w:eastAsia="Verdana" w:hAnsi="Verdana" w:cs="Verdana"/>
                <w:b/>
                <w:i/>
                <w:sz w:val="18"/>
                <w:szCs w:val="18"/>
              </w:rPr>
            </w:pPr>
            <w:r w:rsidRPr="00914FCF">
              <w:rPr>
                <w:rFonts w:ascii="Verdana" w:eastAsia="Verdana" w:hAnsi="Verdana" w:cs="Verdana"/>
                <w:b/>
                <w:i/>
                <w:sz w:val="18"/>
                <w:szCs w:val="18"/>
              </w:rPr>
              <w:t>Recent progress and further mitigating action to be taken</w:t>
            </w:r>
          </w:p>
          <w:p w:rsidR="002617F1" w:rsidRPr="00914FCF" w:rsidRDefault="00292579" w:rsidP="00C268A2">
            <w:pPr>
              <w:rPr>
                <w:rFonts w:ascii="Verdana" w:eastAsia="Verdana" w:hAnsi="Verdana" w:cs="Verdana"/>
                <w:i/>
                <w:sz w:val="18"/>
                <w:szCs w:val="18"/>
              </w:rPr>
            </w:pPr>
            <w:r w:rsidRPr="00914FCF">
              <w:rPr>
                <w:rFonts w:ascii="Verdana" w:eastAsia="Verdana" w:hAnsi="Verdana" w:cs="Verdana"/>
                <w:i/>
                <w:sz w:val="18"/>
                <w:szCs w:val="18"/>
              </w:rPr>
              <w:t>Resources continue to be placed appropriately to best meet the Council’s overall aims and objectives as set out in the Carlisle Plan.</w:t>
            </w:r>
          </w:p>
          <w:p w:rsidR="00292579" w:rsidRPr="00914FCF" w:rsidRDefault="00292579" w:rsidP="00C268A2">
            <w:pPr>
              <w:rPr>
                <w:rFonts w:ascii="Verdana" w:eastAsia="Verdana" w:hAnsi="Verdana" w:cs="Verdana"/>
                <w:i/>
                <w:sz w:val="18"/>
                <w:szCs w:val="18"/>
              </w:rPr>
            </w:pPr>
            <w:r w:rsidRPr="00914FCF">
              <w:rPr>
                <w:rFonts w:ascii="Verdana" w:eastAsia="Verdana" w:hAnsi="Verdana" w:cs="Verdana"/>
                <w:i/>
                <w:sz w:val="18"/>
                <w:szCs w:val="18"/>
              </w:rPr>
              <w:t xml:space="preserve">Service standards and progress against the Carlisle Plan continue to be monitored and reported </w:t>
            </w:r>
            <w:r w:rsidR="00EB52BB" w:rsidRPr="00914FCF">
              <w:rPr>
                <w:rFonts w:ascii="Verdana" w:eastAsia="Verdana" w:hAnsi="Verdana" w:cs="Verdana"/>
                <w:i/>
                <w:sz w:val="18"/>
                <w:szCs w:val="18"/>
              </w:rPr>
              <w:t xml:space="preserve">quarterly </w:t>
            </w:r>
            <w:r w:rsidRPr="00914FCF">
              <w:rPr>
                <w:rFonts w:ascii="Verdana" w:eastAsia="Verdana" w:hAnsi="Verdana" w:cs="Verdana"/>
                <w:i/>
                <w:sz w:val="18"/>
                <w:szCs w:val="18"/>
              </w:rPr>
              <w:t xml:space="preserve">to </w:t>
            </w:r>
            <w:r w:rsidR="0058735C" w:rsidRPr="00914FCF">
              <w:rPr>
                <w:rFonts w:ascii="Verdana" w:eastAsia="Verdana" w:hAnsi="Verdana" w:cs="Verdana"/>
                <w:i/>
                <w:sz w:val="18"/>
                <w:szCs w:val="18"/>
              </w:rPr>
              <w:t>each Overview and Scrutiny Panel.</w:t>
            </w:r>
          </w:p>
          <w:p w:rsidR="00EB52BB" w:rsidRPr="00914FCF" w:rsidRDefault="00EB52BB" w:rsidP="00C268A2">
            <w:pPr>
              <w:rPr>
                <w:rFonts w:ascii="Verdana" w:eastAsia="Verdana" w:hAnsi="Verdana" w:cs="Verdana"/>
                <w:i/>
                <w:sz w:val="18"/>
                <w:szCs w:val="18"/>
              </w:rPr>
            </w:pPr>
            <w:r w:rsidRPr="00914FCF">
              <w:rPr>
                <w:rFonts w:ascii="Verdana" w:eastAsia="Verdana" w:hAnsi="Verdana" w:cs="Verdana"/>
                <w:i/>
                <w:sz w:val="18"/>
                <w:szCs w:val="18"/>
              </w:rPr>
              <w:t>The Corporate Programme Board is managing the support</w:t>
            </w:r>
            <w:r w:rsidR="00AA7AB0" w:rsidRPr="00914FCF">
              <w:rPr>
                <w:rFonts w:ascii="Verdana" w:eastAsia="Verdana" w:hAnsi="Verdana" w:cs="Verdana"/>
                <w:i/>
                <w:sz w:val="18"/>
                <w:szCs w:val="18"/>
              </w:rPr>
              <w:t xml:space="preserve"> and</w:t>
            </w:r>
            <w:r w:rsidRPr="00914FCF">
              <w:rPr>
                <w:rFonts w:ascii="Verdana" w:eastAsia="Verdana" w:hAnsi="Verdana" w:cs="Verdana"/>
                <w:i/>
                <w:sz w:val="18"/>
                <w:szCs w:val="18"/>
              </w:rPr>
              <w:t xml:space="preserve"> resources required to deliver key Council objectives.  Recent procurement of Project Server 2013 will allow better alignment of staff resources to meet those objectives.</w:t>
            </w:r>
          </w:p>
          <w:p w:rsidR="00EB52BB" w:rsidRPr="00914FCF" w:rsidRDefault="00EB52BB" w:rsidP="00EB52BB">
            <w:pPr>
              <w:rPr>
                <w:rFonts w:ascii="Verdana" w:eastAsia="Verdana" w:hAnsi="Verdana" w:cs="Verdana"/>
                <w:i/>
                <w:sz w:val="18"/>
                <w:szCs w:val="18"/>
              </w:rPr>
            </w:pPr>
            <w:r w:rsidRPr="00914FCF">
              <w:rPr>
                <w:rFonts w:ascii="Verdana" w:eastAsia="Verdana" w:hAnsi="Verdana" w:cs="Verdana"/>
                <w:i/>
                <w:sz w:val="18"/>
                <w:szCs w:val="18"/>
              </w:rPr>
              <w:t>The 2015/16 budget has taken account of budget pressures and the implications for transformational savings going forward.  Further savings of £1.601m have been identified and need to be delivered by 1</w:t>
            </w:r>
            <w:r w:rsidRPr="00914FCF">
              <w:rPr>
                <w:rFonts w:ascii="Verdana" w:eastAsia="Verdana" w:hAnsi="Verdana" w:cs="Verdana"/>
                <w:i/>
                <w:sz w:val="18"/>
                <w:szCs w:val="18"/>
                <w:vertAlign w:val="superscript"/>
              </w:rPr>
              <w:t>st</w:t>
            </w:r>
            <w:r w:rsidRPr="00914FCF">
              <w:rPr>
                <w:rFonts w:ascii="Verdana" w:eastAsia="Verdana" w:hAnsi="Verdana" w:cs="Verdana"/>
                <w:i/>
                <w:sz w:val="18"/>
                <w:szCs w:val="18"/>
              </w:rPr>
              <w:t xml:space="preserve"> April 2016.  A further savings of £1.874m are required in future years.  Savings will be made to protect services and avoid compulsory redundancies as far as possible.</w:t>
            </w:r>
          </w:p>
          <w:p w:rsidR="00EB52BB" w:rsidRPr="00E17F2F" w:rsidRDefault="00EB52BB" w:rsidP="00EB52BB">
            <w:pPr>
              <w:rPr>
                <w:rFonts w:ascii="Verdana" w:eastAsia="Verdana" w:hAnsi="Verdana" w:cs="Verdana"/>
                <w:i/>
                <w:color w:val="000000"/>
                <w:sz w:val="18"/>
                <w:szCs w:val="18"/>
              </w:rPr>
            </w:pPr>
            <w:r w:rsidRPr="00914FCF">
              <w:rPr>
                <w:rFonts w:ascii="Verdana" w:eastAsia="Verdana" w:hAnsi="Verdana" w:cs="Verdana"/>
                <w:i/>
                <w:sz w:val="18"/>
                <w:szCs w:val="18"/>
              </w:rPr>
              <w:t>The autumn statement will provide details of future reduction in RSG (could be upto 40%) and this will need to be factored into 2016/17 budget process.</w:t>
            </w:r>
          </w:p>
        </w:tc>
        <w:tc>
          <w:tcPr>
            <w:tcW w:w="1505"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rPr>
                <w:rFonts w:ascii="Verdana" w:eastAsia="Verdana" w:hAnsi="Verdana" w:cs="Verdana"/>
                <w:color w:val="000000"/>
                <w:sz w:val="16"/>
                <w:szCs w:val="16"/>
              </w:rPr>
            </w:pPr>
            <w:r w:rsidRPr="009940DD">
              <w:rPr>
                <w:rFonts w:ascii="Verdana" w:eastAsia="Verdana" w:hAnsi="Verdana" w:cs="Verdana"/>
                <w:noProof/>
                <w:color w:val="000000"/>
                <w:sz w:val="16"/>
                <w:szCs w:val="16"/>
              </w:rPr>
              <w:drawing>
                <wp:inline distT="0" distB="0" distL="0" distR="0">
                  <wp:extent cx="847725" cy="8286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r>
      <w:tr w:rsidR="002617F1" w:rsidRPr="009940DD" w:rsidTr="00B67E81">
        <w:tc>
          <w:tcPr>
            <w:tcW w:w="17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1B2472" w:rsidRDefault="002617F1" w:rsidP="00B67E81">
            <w:pPr>
              <w:jc w:val="center"/>
              <w:rPr>
                <w:rFonts w:ascii="Verdana" w:eastAsia="Verdana" w:hAnsi="Verdana" w:cs="Verdana"/>
                <w:color w:val="000000"/>
                <w:sz w:val="16"/>
                <w:szCs w:val="16"/>
              </w:rPr>
            </w:pPr>
            <w:r w:rsidRPr="001B2472">
              <w:rPr>
                <w:rFonts w:ascii="Verdana" w:eastAsia="Verdana" w:hAnsi="Verdana" w:cs="Verdana"/>
                <w:noProof/>
                <w:color w:val="000000"/>
                <w:sz w:val="16"/>
                <w:szCs w:val="16"/>
              </w:rPr>
              <w:drawing>
                <wp:inline distT="0" distB="0" distL="0" distR="0">
                  <wp:extent cx="847725" cy="828675"/>
                  <wp:effectExtent l="19050" t="0" r="9525"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156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E17F2F"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20-May-2015</w:t>
            </w:r>
          </w:p>
        </w:tc>
        <w:tc>
          <w:tcPr>
            <w:tcW w:w="170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2617F1"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9</w:t>
            </w:r>
          </w:p>
        </w:tc>
        <w:tc>
          <w:tcPr>
            <w:tcW w:w="8926"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rPr>
                <w:rFonts w:ascii="Verdana" w:eastAsia="Verdana" w:hAnsi="Verdana" w:cs="Verdana"/>
                <w:color w:val="000000"/>
                <w:sz w:val="16"/>
                <w:szCs w:val="16"/>
              </w:rPr>
            </w:pPr>
          </w:p>
        </w:tc>
        <w:tc>
          <w:tcPr>
            <w:tcW w:w="1505"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color w:val="000000"/>
                <w:sz w:val="16"/>
                <w:szCs w:val="16"/>
              </w:rPr>
            </w:pPr>
          </w:p>
        </w:tc>
      </w:tr>
      <w:tr w:rsidR="002617F1" w:rsidRPr="009940DD" w:rsidTr="00B67E81">
        <w:tc>
          <w:tcPr>
            <w:tcW w:w="1741"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000000"/>
                <w:sz w:val="16"/>
                <w:szCs w:val="16"/>
              </w:rPr>
            </w:pPr>
            <w:r w:rsidRPr="009940DD">
              <w:rPr>
                <w:rFonts w:ascii="Verdana" w:eastAsia="Verdana" w:hAnsi="Verdana" w:cs="Verdana"/>
                <w:color w:val="FFFFFF"/>
                <w:sz w:val="16"/>
                <w:szCs w:val="16"/>
              </w:rPr>
              <w:t xml:space="preserve"> </w:t>
            </w:r>
          </w:p>
        </w:tc>
        <w:tc>
          <w:tcPr>
            <w:tcW w:w="156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89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150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r>
      <w:tr w:rsidR="002617F1" w:rsidRPr="009940DD" w:rsidTr="00B67E81">
        <w:tc>
          <w:tcPr>
            <w:tcW w:w="1741"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9940DD" w:rsidRDefault="002617F1" w:rsidP="00B67E81">
            <w:pPr>
              <w:rPr>
                <w:rFonts w:ascii="Verdana" w:eastAsia="Verdana" w:hAnsi="Verdana" w:cs="Verdana"/>
                <w:color w:val="FFFFFF"/>
                <w:sz w:val="16"/>
                <w:szCs w:val="16"/>
              </w:rPr>
            </w:pPr>
            <w:r w:rsidRPr="009940DD">
              <w:rPr>
                <w:rFonts w:ascii="Verdana" w:eastAsia="Verdana" w:hAnsi="Verdana" w:cs="Verdana"/>
                <w:b/>
                <w:color w:val="000000"/>
                <w:sz w:val="16"/>
                <w:szCs w:val="16"/>
              </w:rPr>
              <w:t>Current Impact Description</w:t>
            </w:r>
          </w:p>
        </w:tc>
        <w:tc>
          <w:tcPr>
            <w:tcW w:w="156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color w:val="000000"/>
                <w:sz w:val="16"/>
                <w:szCs w:val="16"/>
              </w:rPr>
              <w:t>High</w:t>
            </w: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000000"/>
                <w:sz w:val="16"/>
                <w:szCs w:val="16"/>
              </w:rPr>
            </w:pPr>
            <w:r w:rsidRPr="009940DD">
              <w:rPr>
                <w:rFonts w:ascii="Verdana" w:eastAsia="Verdana" w:hAnsi="Verdana" w:cs="Verdana"/>
                <w:color w:val="FFFFFF"/>
                <w:sz w:val="16"/>
                <w:szCs w:val="16"/>
              </w:rPr>
              <w:t xml:space="preserve"> </w:t>
            </w:r>
          </w:p>
        </w:tc>
        <w:tc>
          <w:tcPr>
            <w:tcW w:w="89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b/>
                <w:color w:val="000000"/>
                <w:sz w:val="16"/>
                <w:szCs w:val="16"/>
              </w:rPr>
              <w:t>Target Risk Date</w:t>
            </w:r>
          </w:p>
        </w:tc>
        <w:tc>
          <w:tcPr>
            <w:tcW w:w="150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color w:val="000000"/>
                <w:sz w:val="16"/>
                <w:szCs w:val="16"/>
              </w:rPr>
              <w:t>01-</w:t>
            </w:r>
            <w:r w:rsidRPr="00B67E81">
              <w:rPr>
                <w:rFonts w:ascii="Verdana" w:eastAsia="Verdana" w:hAnsi="Verdana" w:cs="Verdana"/>
                <w:color w:val="000000"/>
                <w:sz w:val="16"/>
                <w:szCs w:val="16"/>
              </w:rPr>
              <w:t>Apr-2017</w:t>
            </w:r>
          </w:p>
        </w:tc>
      </w:tr>
      <w:tr w:rsidR="002617F1" w:rsidRPr="009940DD" w:rsidTr="00B67E81">
        <w:tc>
          <w:tcPr>
            <w:tcW w:w="1741"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9940DD" w:rsidRDefault="002617F1" w:rsidP="00B67E81">
            <w:pPr>
              <w:rPr>
                <w:rFonts w:ascii="Verdana" w:eastAsia="Verdana" w:hAnsi="Verdana" w:cs="Verdana"/>
                <w:color w:val="000000"/>
                <w:sz w:val="16"/>
                <w:szCs w:val="16"/>
              </w:rPr>
            </w:pPr>
            <w:r w:rsidRPr="009940DD">
              <w:rPr>
                <w:rFonts w:ascii="Verdana" w:eastAsia="Verdana" w:hAnsi="Verdana" w:cs="Verdana"/>
                <w:b/>
                <w:color w:val="000000"/>
                <w:sz w:val="16"/>
                <w:szCs w:val="16"/>
              </w:rPr>
              <w:t>Current Likelihood Description</w:t>
            </w:r>
          </w:p>
        </w:tc>
        <w:tc>
          <w:tcPr>
            <w:tcW w:w="156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color w:val="000000"/>
                <w:sz w:val="16"/>
                <w:szCs w:val="16"/>
              </w:rPr>
              <w:t>Reasonably probable</w:t>
            </w: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000000"/>
                <w:sz w:val="16"/>
                <w:szCs w:val="16"/>
              </w:rPr>
            </w:pPr>
            <w:r w:rsidRPr="009940DD">
              <w:rPr>
                <w:rFonts w:ascii="Verdana" w:eastAsia="Verdana" w:hAnsi="Verdana" w:cs="Verdana"/>
                <w:color w:val="FFFFFF"/>
                <w:sz w:val="16"/>
                <w:szCs w:val="16"/>
              </w:rPr>
              <w:t xml:space="preserve"> </w:t>
            </w:r>
          </w:p>
        </w:tc>
        <w:tc>
          <w:tcPr>
            <w:tcW w:w="89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b/>
                <w:color w:val="000000"/>
                <w:sz w:val="16"/>
                <w:szCs w:val="16"/>
              </w:rPr>
              <w:t>Target Risk Score</w:t>
            </w:r>
          </w:p>
        </w:tc>
        <w:tc>
          <w:tcPr>
            <w:tcW w:w="150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color w:val="000000"/>
                <w:sz w:val="16"/>
                <w:szCs w:val="16"/>
              </w:rPr>
              <w:t>6</w:t>
            </w:r>
          </w:p>
        </w:tc>
      </w:tr>
      <w:tr w:rsidR="002617F1" w:rsidRPr="009940DD" w:rsidTr="00B67E81">
        <w:tc>
          <w:tcPr>
            <w:tcW w:w="1741"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9940DD" w:rsidRDefault="002617F1" w:rsidP="00B67E81">
            <w:pPr>
              <w:rPr>
                <w:rFonts w:ascii="Verdana" w:eastAsia="Verdana" w:hAnsi="Verdana" w:cs="Verdana"/>
                <w:color w:val="000000"/>
                <w:sz w:val="16"/>
                <w:szCs w:val="16"/>
              </w:rPr>
            </w:pPr>
            <w:r w:rsidRPr="009940DD">
              <w:rPr>
                <w:rFonts w:ascii="Verdana" w:eastAsia="Verdana" w:hAnsi="Verdana" w:cs="Verdana"/>
                <w:b/>
                <w:color w:val="000000"/>
                <w:sz w:val="16"/>
                <w:szCs w:val="16"/>
              </w:rPr>
              <w:t>Risk Score</w:t>
            </w:r>
          </w:p>
        </w:tc>
        <w:tc>
          <w:tcPr>
            <w:tcW w:w="156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color w:val="000000"/>
                <w:sz w:val="16"/>
                <w:szCs w:val="16"/>
              </w:rPr>
              <w:t>9</w:t>
            </w: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000000"/>
                <w:sz w:val="16"/>
                <w:szCs w:val="16"/>
              </w:rPr>
            </w:pPr>
            <w:r w:rsidRPr="009940DD">
              <w:rPr>
                <w:rFonts w:ascii="Verdana" w:eastAsia="Verdana" w:hAnsi="Verdana" w:cs="Verdana"/>
                <w:color w:val="FFFFFF"/>
                <w:sz w:val="16"/>
                <w:szCs w:val="16"/>
              </w:rPr>
              <w:t xml:space="preserve"> </w:t>
            </w:r>
          </w:p>
        </w:tc>
        <w:tc>
          <w:tcPr>
            <w:tcW w:w="8926"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150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r>
      <w:tr w:rsidR="002617F1" w:rsidRPr="009940DD" w:rsidTr="00B67E81">
        <w:tc>
          <w:tcPr>
            <w:tcW w:w="1741"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156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89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b/>
                <w:color w:val="000000"/>
                <w:sz w:val="16"/>
                <w:szCs w:val="16"/>
              </w:rPr>
              <w:t>Lead Officer</w:t>
            </w:r>
          </w:p>
        </w:tc>
        <w:tc>
          <w:tcPr>
            <w:tcW w:w="150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color w:val="000000"/>
                <w:sz w:val="16"/>
                <w:szCs w:val="16"/>
              </w:rPr>
              <w:t>Jason Gooding</w:t>
            </w:r>
          </w:p>
        </w:tc>
      </w:tr>
      <w:tr w:rsidR="002617F1" w:rsidRPr="009940DD" w:rsidTr="00B67E81">
        <w:tc>
          <w:tcPr>
            <w:tcW w:w="1741"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000000"/>
                <w:sz w:val="16"/>
                <w:szCs w:val="16"/>
              </w:rPr>
            </w:pPr>
            <w:r w:rsidRPr="009940DD">
              <w:rPr>
                <w:rFonts w:ascii="Verdana" w:eastAsia="Verdana" w:hAnsi="Verdana" w:cs="Verdana"/>
                <w:color w:val="FFFFFF"/>
                <w:sz w:val="16"/>
                <w:szCs w:val="16"/>
              </w:rPr>
              <w:t xml:space="preserve"> </w:t>
            </w:r>
          </w:p>
        </w:tc>
        <w:tc>
          <w:tcPr>
            <w:tcW w:w="156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color w:val="FFFFFF"/>
                <w:sz w:val="16"/>
                <w:szCs w:val="16"/>
              </w:rPr>
              <w:t xml:space="preserve"> </w:t>
            </w:r>
          </w:p>
        </w:tc>
        <w:tc>
          <w:tcPr>
            <w:tcW w:w="89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r w:rsidRPr="009940DD">
              <w:rPr>
                <w:rFonts w:ascii="Verdana" w:eastAsia="Verdana" w:hAnsi="Verdana" w:cs="Verdana"/>
                <w:b/>
                <w:color w:val="000000"/>
                <w:sz w:val="16"/>
                <w:szCs w:val="16"/>
              </w:rPr>
              <w:t>Portfolio Holder</w:t>
            </w:r>
          </w:p>
        </w:tc>
        <w:tc>
          <w:tcPr>
            <w:tcW w:w="150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b/>
                <w:color w:val="000000"/>
                <w:sz w:val="16"/>
                <w:szCs w:val="16"/>
              </w:rPr>
            </w:pPr>
            <w:r w:rsidRPr="009940DD">
              <w:rPr>
                <w:rFonts w:ascii="Verdana" w:eastAsia="Verdana" w:hAnsi="Verdana" w:cs="Verdana"/>
                <w:color w:val="000000"/>
                <w:sz w:val="16"/>
                <w:szCs w:val="16"/>
              </w:rPr>
              <w:t>Councillor Glover</w:t>
            </w:r>
          </w:p>
        </w:tc>
      </w:tr>
      <w:tr w:rsidR="002617F1" w:rsidRPr="009940DD" w:rsidTr="00B67E81">
        <w:tc>
          <w:tcPr>
            <w:tcW w:w="1741"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p>
        </w:tc>
        <w:tc>
          <w:tcPr>
            <w:tcW w:w="156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p>
        </w:tc>
        <w:tc>
          <w:tcPr>
            <w:tcW w:w="1700"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color w:val="FFFFFF"/>
                <w:sz w:val="16"/>
                <w:szCs w:val="16"/>
              </w:rPr>
            </w:pPr>
          </w:p>
        </w:tc>
        <w:tc>
          <w:tcPr>
            <w:tcW w:w="8926"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9940DD" w:rsidRDefault="002617F1" w:rsidP="00B67E81">
            <w:pPr>
              <w:jc w:val="right"/>
              <w:rPr>
                <w:rFonts w:ascii="Verdana" w:eastAsia="Verdana" w:hAnsi="Verdana" w:cs="Verdana"/>
                <w:b/>
                <w:color w:val="000000"/>
                <w:sz w:val="16"/>
                <w:szCs w:val="16"/>
              </w:rPr>
            </w:pPr>
            <w:r w:rsidRPr="009940DD">
              <w:rPr>
                <w:rFonts w:ascii="Verdana" w:eastAsia="Verdana" w:hAnsi="Verdana" w:cs="Verdana"/>
                <w:b/>
                <w:color w:val="000000"/>
                <w:sz w:val="16"/>
                <w:szCs w:val="16"/>
              </w:rPr>
              <w:t>Overview and Scrutiny Panel</w:t>
            </w:r>
          </w:p>
        </w:tc>
        <w:tc>
          <w:tcPr>
            <w:tcW w:w="150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9940DD" w:rsidRDefault="002617F1" w:rsidP="00B67E81">
            <w:pPr>
              <w:jc w:val="center"/>
              <w:rPr>
                <w:rFonts w:ascii="Verdana" w:eastAsia="Verdana" w:hAnsi="Verdana" w:cs="Verdana"/>
                <w:color w:val="000000"/>
                <w:sz w:val="16"/>
                <w:szCs w:val="16"/>
              </w:rPr>
            </w:pPr>
            <w:r w:rsidRPr="009940DD">
              <w:rPr>
                <w:rFonts w:ascii="Verdana" w:eastAsia="Verdana" w:hAnsi="Verdana" w:cs="Verdana"/>
                <w:color w:val="000000"/>
                <w:sz w:val="16"/>
                <w:szCs w:val="16"/>
              </w:rPr>
              <w:t>Resources</w:t>
            </w:r>
          </w:p>
        </w:tc>
      </w:tr>
    </w:tbl>
    <w:p w:rsidR="002617F1" w:rsidRDefault="002617F1" w:rsidP="002617F1">
      <w:pPr>
        <w:rPr>
          <w:rFonts w:cs="Arial"/>
          <w:b/>
          <w:sz w:val="16"/>
          <w:szCs w:val="16"/>
        </w:rPr>
      </w:pPr>
    </w:p>
    <w:p w:rsidR="002617F1" w:rsidRDefault="002617F1" w:rsidP="002617F1">
      <w:pPr>
        <w:rPr>
          <w:rFonts w:cs="Arial"/>
          <w:b/>
          <w:sz w:val="16"/>
          <w:szCs w:val="16"/>
        </w:rPr>
      </w:pPr>
    </w:p>
    <w:p w:rsidR="002617F1" w:rsidRDefault="002617F1" w:rsidP="002617F1">
      <w:pPr>
        <w:rPr>
          <w:rFonts w:cs="Arial"/>
          <w:b/>
          <w:sz w:val="16"/>
          <w:szCs w:val="16"/>
        </w:rPr>
      </w:pPr>
    </w:p>
    <w:p w:rsidR="002617F1" w:rsidRDefault="002617F1" w:rsidP="002617F1">
      <w:pPr>
        <w:rPr>
          <w:rFonts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096"/>
        <w:gridCol w:w="1817"/>
        <w:gridCol w:w="7263"/>
        <w:gridCol w:w="2043"/>
      </w:tblGrid>
      <w:tr w:rsidR="002617F1" w:rsidTr="00B67E81">
        <w:tc>
          <w:tcPr>
            <w:tcW w:w="15432" w:type="dxa"/>
            <w:gridSpan w:val="5"/>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107DDF" w:rsidRDefault="002617F1" w:rsidP="00B67E81">
            <w:pPr>
              <w:rPr>
                <w:sz w:val="20"/>
              </w:rPr>
            </w:pPr>
            <w:r w:rsidRPr="00107DDF">
              <w:rPr>
                <w:sz w:val="20"/>
              </w:rPr>
              <w:br w:type="page"/>
            </w:r>
            <w:r w:rsidRPr="00107DDF">
              <w:rPr>
                <w:sz w:val="20"/>
              </w:rPr>
              <w:br w:type="page"/>
            </w:r>
            <w:r w:rsidRPr="00107DDF">
              <w:rPr>
                <w:rFonts w:ascii="Verdana" w:eastAsia="Verdana" w:hAnsi="Verdana" w:cs="Verdana"/>
                <w:b/>
                <w:color w:val="000000"/>
                <w:sz w:val="20"/>
              </w:rPr>
              <w:t xml:space="preserve">Council's Income Targets  </w:t>
            </w:r>
          </w:p>
        </w:tc>
      </w:tr>
      <w:tr w:rsidR="002617F1" w:rsidTr="00B67E81">
        <w:tc>
          <w:tcPr>
            <w:tcW w:w="15432" w:type="dxa"/>
            <w:gridSpan w:val="5"/>
            <w:tcBorders>
              <w:top w:val="single" w:sz="8" w:space="0" w:color="78786E"/>
              <w:left w:val="single" w:sz="8" w:space="0" w:color="78786E"/>
              <w:bottom w:val="single" w:sz="8" w:space="0" w:color="78786E"/>
              <w:right w:val="single" w:sz="8" w:space="0" w:color="78786E"/>
            </w:tcBorders>
            <w:shd w:val="clear" w:color="auto" w:fill="A9A9A9"/>
            <w:tcMar>
              <w:top w:w="40" w:type="dxa"/>
              <w:left w:w="40" w:type="dxa"/>
              <w:bottom w:w="40" w:type="dxa"/>
              <w:right w:w="40" w:type="dxa"/>
            </w:tcMar>
            <w:vAlign w:val="center"/>
          </w:tcPr>
          <w:p w:rsidR="002617F1" w:rsidRPr="00107DDF" w:rsidRDefault="002617F1" w:rsidP="00B67E81">
            <w:pPr>
              <w:rPr>
                <w:rFonts w:ascii="Verdana" w:eastAsia="Verdana" w:hAnsi="Verdana" w:cs="Verdana"/>
                <w:b/>
                <w:color w:val="000000"/>
                <w:sz w:val="20"/>
              </w:rPr>
            </w:pPr>
            <w:r w:rsidRPr="00107DDF">
              <w:rPr>
                <w:rFonts w:ascii="Verdana" w:eastAsia="Verdana" w:hAnsi="Verdana" w:cs="Verdana"/>
                <w:b/>
                <w:color w:val="000000"/>
                <w:sz w:val="20"/>
              </w:rPr>
              <w:t xml:space="preserve">'There is a risk that the Council's income from chargeable services eg car parking does not meet MTFP targets and that the Council does not take advantage of other commercial opportunities' </w:t>
            </w:r>
          </w:p>
        </w:tc>
      </w:tr>
      <w:tr w:rsidR="002617F1" w:rsidTr="00B67E81">
        <w:tc>
          <w:tcPr>
            <w:tcW w:w="20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b/>
                <w:color w:val="000000"/>
              </w:rPr>
            </w:pPr>
            <w:r>
              <w:rPr>
                <w:rFonts w:ascii="Verdana" w:eastAsia="Verdana" w:hAnsi="Verdana" w:cs="Verdana"/>
                <w:color w:val="FFFFFF"/>
                <w:sz w:val="16"/>
              </w:rPr>
              <w:t xml:space="preserve"> </w:t>
            </w:r>
          </w:p>
        </w:tc>
        <w:tc>
          <w:tcPr>
            <w:tcW w:w="21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7368"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c>
          <w:tcPr>
            <w:tcW w:w="207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Default="002617F1" w:rsidP="00B67E81">
            <w:pPr>
              <w:jc w:val="right"/>
              <w:rPr>
                <w:rFonts w:ascii="Verdana" w:eastAsia="Verdana" w:hAnsi="Verdana" w:cs="Verdana"/>
                <w:color w:val="FFFFFF"/>
                <w:sz w:val="16"/>
              </w:rPr>
            </w:pPr>
            <w:r>
              <w:rPr>
                <w:rFonts w:ascii="Verdana" w:eastAsia="Verdana" w:hAnsi="Verdana" w:cs="Verdana"/>
                <w:color w:val="FFFFFF"/>
                <w:sz w:val="16"/>
              </w:rPr>
              <w:t xml:space="preserve"> </w:t>
            </w:r>
          </w:p>
        </w:tc>
      </w:tr>
      <w:tr w:rsidR="002617F1" w:rsidTr="00B67E81">
        <w:tc>
          <w:tcPr>
            <w:tcW w:w="2025"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color w:val="FFFFFF"/>
                <w:sz w:val="16"/>
                <w:szCs w:val="16"/>
              </w:rPr>
            </w:pPr>
            <w:r w:rsidRPr="00087718">
              <w:rPr>
                <w:rFonts w:ascii="Verdana" w:eastAsia="Verdana" w:hAnsi="Verdana" w:cs="Verdana"/>
                <w:b/>
                <w:color w:val="000000"/>
                <w:sz w:val="16"/>
                <w:szCs w:val="16"/>
              </w:rPr>
              <w:t>Present and Previous Matrices</w:t>
            </w:r>
          </w:p>
        </w:tc>
        <w:tc>
          <w:tcPr>
            <w:tcW w:w="2125"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b/>
                <w:color w:val="000000"/>
                <w:sz w:val="16"/>
                <w:szCs w:val="16"/>
              </w:rPr>
              <w:t>Assessment Dates</w:t>
            </w:r>
          </w:p>
        </w:tc>
        <w:tc>
          <w:tcPr>
            <w:tcW w:w="1842"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b/>
                <w:color w:val="000000"/>
                <w:sz w:val="16"/>
                <w:szCs w:val="16"/>
              </w:rPr>
              <w:t>Present and Previous Risk Scores</w:t>
            </w:r>
          </w:p>
        </w:tc>
        <w:tc>
          <w:tcPr>
            <w:tcW w:w="736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b/>
                <w:color w:val="000000"/>
                <w:sz w:val="16"/>
                <w:szCs w:val="16"/>
              </w:rPr>
              <w:t>Current Action Status / Control Strategy</w:t>
            </w:r>
          </w:p>
        </w:tc>
        <w:tc>
          <w:tcPr>
            <w:tcW w:w="2072"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b/>
                <w:color w:val="000000"/>
                <w:sz w:val="16"/>
                <w:szCs w:val="16"/>
              </w:rPr>
              <w:t>Target Risk Matrix</w:t>
            </w:r>
          </w:p>
        </w:tc>
      </w:tr>
      <w:tr w:rsidR="002617F1" w:rsidTr="009531DD">
        <w:trPr>
          <w:trHeight w:val="1824"/>
        </w:trPr>
        <w:tc>
          <w:tcPr>
            <w:tcW w:w="20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Default="00E17F2F" w:rsidP="00E17F2F">
            <w:pPr>
              <w:jc w:val="center"/>
              <w:rPr>
                <w:rFonts w:ascii="Verdana" w:eastAsia="Verdana" w:hAnsi="Verdana" w:cs="Verdana"/>
                <w:color w:val="000000"/>
                <w:sz w:val="16"/>
                <w:szCs w:val="16"/>
              </w:rPr>
            </w:pPr>
            <w:r w:rsidRPr="009531DD">
              <w:rPr>
                <w:rFonts w:ascii="Verdana" w:eastAsia="Verdana" w:hAnsi="Verdana" w:cs="Verdana"/>
                <w:noProof/>
                <w:color w:val="000000"/>
                <w:sz w:val="16"/>
                <w:szCs w:val="16"/>
              </w:rPr>
              <w:drawing>
                <wp:inline distT="0" distB="0" distL="0" distR="0" wp14:anchorId="4FC1A0F1" wp14:editId="52482447">
                  <wp:extent cx="847725" cy="8286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p w:rsidR="002617F1" w:rsidRPr="00087718" w:rsidRDefault="002617F1" w:rsidP="009531DD">
            <w:pPr>
              <w:jc w:val="center"/>
              <w:rPr>
                <w:rFonts w:ascii="Verdana" w:eastAsia="Verdana" w:hAnsi="Verdana" w:cs="Verdana"/>
                <w:color w:val="000000"/>
                <w:sz w:val="16"/>
                <w:szCs w:val="16"/>
              </w:rPr>
            </w:pPr>
          </w:p>
        </w:tc>
        <w:tc>
          <w:tcPr>
            <w:tcW w:w="21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C8455E"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26-Aug-2015</w:t>
            </w:r>
          </w:p>
        </w:tc>
        <w:tc>
          <w:tcPr>
            <w:tcW w:w="184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E17F2F" w:rsidP="00B67E81">
            <w:pPr>
              <w:jc w:val="center"/>
              <w:rPr>
                <w:rFonts w:ascii="Verdana" w:eastAsia="Verdana" w:hAnsi="Verdana" w:cs="Verdana"/>
                <w:i/>
                <w:color w:val="000000"/>
                <w:sz w:val="18"/>
                <w:szCs w:val="18"/>
              </w:rPr>
            </w:pPr>
            <w:r w:rsidRPr="00914FCF">
              <w:rPr>
                <w:rFonts w:ascii="Verdana" w:eastAsia="Verdana" w:hAnsi="Verdana" w:cs="Verdana"/>
                <w:i/>
                <w:sz w:val="18"/>
                <w:szCs w:val="18"/>
              </w:rPr>
              <w:t>6</w:t>
            </w:r>
          </w:p>
        </w:tc>
        <w:tc>
          <w:tcPr>
            <w:tcW w:w="73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74F8A" w:rsidRPr="00914FCF" w:rsidRDefault="00E74F8A" w:rsidP="00B67E81">
            <w:pPr>
              <w:rPr>
                <w:rFonts w:ascii="Verdana" w:eastAsia="Verdana" w:hAnsi="Verdana" w:cs="Verdana"/>
                <w:b/>
                <w:i/>
                <w:sz w:val="18"/>
                <w:szCs w:val="18"/>
              </w:rPr>
            </w:pPr>
            <w:r w:rsidRPr="00914FCF">
              <w:rPr>
                <w:rFonts w:ascii="Verdana" w:eastAsia="Verdana" w:hAnsi="Verdana" w:cs="Verdana"/>
                <w:b/>
                <w:i/>
                <w:sz w:val="18"/>
                <w:szCs w:val="18"/>
              </w:rPr>
              <w:t>Recent progress and further mitigating action to be taken</w:t>
            </w:r>
          </w:p>
          <w:p w:rsidR="002617F1" w:rsidRPr="00914FCF" w:rsidRDefault="00E74F8A" w:rsidP="00B67E81">
            <w:pPr>
              <w:rPr>
                <w:rFonts w:ascii="Verdana" w:eastAsia="Verdana" w:hAnsi="Verdana" w:cs="Verdana"/>
                <w:i/>
                <w:sz w:val="18"/>
                <w:szCs w:val="18"/>
              </w:rPr>
            </w:pPr>
            <w:r w:rsidRPr="00914FCF">
              <w:rPr>
                <w:rFonts w:ascii="Verdana" w:eastAsia="Verdana" w:hAnsi="Verdana" w:cs="Verdana"/>
                <w:i/>
                <w:sz w:val="18"/>
                <w:szCs w:val="18"/>
              </w:rPr>
              <w:t>Income budgets have been reset as part of the 2015/16 budget and income against targets is currently broadly on track.</w:t>
            </w:r>
          </w:p>
          <w:p w:rsidR="00E74F8A" w:rsidRPr="00914FCF" w:rsidRDefault="00F2197F" w:rsidP="00B67E81">
            <w:pPr>
              <w:rPr>
                <w:rFonts w:ascii="Verdana" w:eastAsia="Verdana" w:hAnsi="Verdana" w:cs="Verdana"/>
                <w:i/>
                <w:sz w:val="18"/>
                <w:szCs w:val="18"/>
              </w:rPr>
            </w:pPr>
            <w:r w:rsidRPr="00914FCF">
              <w:rPr>
                <w:rFonts w:ascii="Verdana" w:eastAsia="Verdana" w:hAnsi="Verdana" w:cs="Verdana"/>
                <w:i/>
                <w:sz w:val="18"/>
                <w:szCs w:val="18"/>
              </w:rPr>
              <w:t>The impact of reduced charges in car parks is being evaluated and further proposals to improve income will come forward, including other measures in addition to price changes.</w:t>
            </w:r>
          </w:p>
          <w:p w:rsidR="00F2197F" w:rsidRPr="00914FCF" w:rsidRDefault="00F2197F" w:rsidP="00B67E81">
            <w:pPr>
              <w:rPr>
                <w:rFonts w:ascii="Verdana" w:eastAsia="Verdana" w:hAnsi="Verdana" w:cs="Verdana"/>
                <w:i/>
                <w:sz w:val="18"/>
                <w:szCs w:val="18"/>
              </w:rPr>
            </w:pPr>
            <w:r w:rsidRPr="00914FCF">
              <w:rPr>
                <w:rFonts w:ascii="Verdana" w:eastAsia="Verdana" w:hAnsi="Verdana" w:cs="Verdana"/>
                <w:i/>
                <w:sz w:val="18"/>
                <w:szCs w:val="18"/>
              </w:rPr>
              <w:t>The Directorate individual charging reports which are produced in accordance with the Council’s corporate charging policy should address any commercial opportunities for Member consideration.</w:t>
            </w:r>
          </w:p>
          <w:p w:rsidR="00F2197F" w:rsidRPr="00E17F2F" w:rsidRDefault="00F2197F" w:rsidP="00B67E81">
            <w:pPr>
              <w:rPr>
                <w:rFonts w:ascii="Verdana" w:eastAsia="Verdana" w:hAnsi="Verdana" w:cs="Verdana"/>
                <w:i/>
                <w:color w:val="000000"/>
                <w:sz w:val="18"/>
                <w:szCs w:val="18"/>
              </w:rPr>
            </w:pPr>
            <w:r w:rsidRPr="00914FCF">
              <w:rPr>
                <w:rFonts w:ascii="Verdana" w:eastAsia="Verdana" w:hAnsi="Verdana" w:cs="Verdana"/>
                <w:i/>
                <w:sz w:val="18"/>
                <w:szCs w:val="18"/>
              </w:rPr>
              <w:t>The digital banner income has exceeded initial expectations.  Further opportunities will be developed in a new commercial strategy for consideration by SMT and Executive later in the year.</w:t>
            </w:r>
          </w:p>
        </w:tc>
        <w:tc>
          <w:tcPr>
            <w:tcW w:w="207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color w:val="000000"/>
                <w:sz w:val="16"/>
                <w:szCs w:val="16"/>
              </w:rPr>
            </w:pPr>
            <w:r w:rsidRPr="00087718">
              <w:rPr>
                <w:rFonts w:ascii="Verdana" w:eastAsia="Verdana" w:hAnsi="Verdana" w:cs="Verdana"/>
                <w:noProof/>
                <w:color w:val="000000"/>
                <w:sz w:val="16"/>
                <w:szCs w:val="16"/>
              </w:rPr>
              <w:drawing>
                <wp:inline distT="0" distB="0" distL="0" distR="0">
                  <wp:extent cx="847725" cy="8286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r>
      <w:tr w:rsidR="002617F1" w:rsidTr="00B67E81">
        <w:tc>
          <w:tcPr>
            <w:tcW w:w="20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501581" w:rsidRDefault="002617F1" w:rsidP="00B67E81">
            <w:pPr>
              <w:jc w:val="center"/>
              <w:rPr>
                <w:rFonts w:ascii="Verdana" w:eastAsia="Verdana" w:hAnsi="Verdana" w:cs="Verdana"/>
                <w:color w:val="000000"/>
                <w:sz w:val="16"/>
                <w:szCs w:val="16"/>
              </w:rPr>
            </w:pPr>
            <w:r w:rsidRPr="00501581">
              <w:rPr>
                <w:rFonts w:ascii="Verdana" w:eastAsia="Verdana" w:hAnsi="Verdana" w:cs="Verdana"/>
                <w:noProof/>
                <w:color w:val="000000"/>
                <w:sz w:val="16"/>
                <w:szCs w:val="16"/>
              </w:rPr>
              <w:drawing>
                <wp:inline distT="0" distB="0" distL="0" distR="0">
                  <wp:extent cx="847725" cy="828675"/>
                  <wp:effectExtent l="19050" t="0" r="9525" b="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21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E17F2F"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20-May-2015</w:t>
            </w:r>
          </w:p>
        </w:tc>
        <w:tc>
          <w:tcPr>
            <w:tcW w:w="184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E17F2F" w:rsidRDefault="002617F1" w:rsidP="00B67E81">
            <w:pPr>
              <w:jc w:val="center"/>
              <w:rPr>
                <w:rFonts w:ascii="Verdana" w:eastAsia="Verdana" w:hAnsi="Verdana" w:cs="Verdana"/>
                <w:color w:val="000000"/>
                <w:sz w:val="18"/>
                <w:szCs w:val="18"/>
              </w:rPr>
            </w:pPr>
            <w:r w:rsidRPr="00E17F2F">
              <w:rPr>
                <w:rFonts w:ascii="Verdana" w:eastAsia="Verdana" w:hAnsi="Verdana" w:cs="Verdana"/>
                <w:color w:val="000000"/>
                <w:sz w:val="18"/>
                <w:szCs w:val="18"/>
              </w:rPr>
              <w:t>9</w:t>
            </w:r>
          </w:p>
        </w:tc>
        <w:tc>
          <w:tcPr>
            <w:tcW w:w="73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rPr>
                <w:rFonts w:ascii="Verdana" w:eastAsia="Verdana" w:hAnsi="Verdana" w:cs="Verdana"/>
                <w:color w:val="000000"/>
                <w:sz w:val="16"/>
                <w:szCs w:val="16"/>
              </w:rPr>
            </w:pPr>
          </w:p>
        </w:tc>
        <w:tc>
          <w:tcPr>
            <w:tcW w:w="207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color w:val="000000"/>
                <w:sz w:val="16"/>
                <w:szCs w:val="16"/>
              </w:rPr>
            </w:pPr>
          </w:p>
        </w:tc>
      </w:tr>
      <w:tr w:rsidR="002617F1" w:rsidTr="00B67E81">
        <w:tc>
          <w:tcPr>
            <w:tcW w:w="20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000000"/>
                <w:sz w:val="16"/>
                <w:szCs w:val="16"/>
              </w:rPr>
            </w:pPr>
            <w:r w:rsidRPr="00087718">
              <w:rPr>
                <w:rFonts w:ascii="Verdana" w:eastAsia="Verdana" w:hAnsi="Verdana" w:cs="Verdana"/>
                <w:color w:val="FFFFFF"/>
                <w:sz w:val="16"/>
                <w:szCs w:val="16"/>
              </w:rPr>
              <w:t xml:space="preserve"> </w:t>
            </w:r>
          </w:p>
        </w:tc>
        <w:tc>
          <w:tcPr>
            <w:tcW w:w="21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7368"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207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r>
      <w:tr w:rsidR="002617F1" w:rsidTr="00B67E81">
        <w:tc>
          <w:tcPr>
            <w:tcW w:w="2025"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087718" w:rsidRDefault="002617F1" w:rsidP="00B67E81">
            <w:pPr>
              <w:rPr>
                <w:rFonts w:ascii="Verdana" w:eastAsia="Verdana" w:hAnsi="Verdana" w:cs="Verdana"/>
                <w:color w:val="FFFFFF"/>
                <w:sz w:val="16"/>
                <w:szCs w:val="16"/>
              </w:rPr>
            </w:pPr>
            <w:r w:rsidRPr="00087718">
              <w:rPr>
                <w:rFonts w:ascii="Verdana" w:eastAsia="Verdana" w:hAnsi="Verdana" w:cs="Verdana"/>
                <w:b/>
                <w:color w:val="000000"/>
                <w:sz w:val="16"/>
                <w:szCs w:val="16"/>
              </w:rPr>
              <w:t>Current Impact Description</w:t>
            </w:r>
          </w:p>
        </w:tc>
        <w:tc>
          <w:tcPr>
            <w:tcW w:w="21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color w:val="000000"/>
                <w:sz w:val="16"/>
                <w:szCs w:val="16"/>
              </w:rPr>
              <w:t>High</w:t>
            </w: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000000"/>
                <w:sz w:val="16"/>
                <w:szCs w:val="16"/>
              </w:rPr>
            </w:pPr>
            <w:r w:rsidRPr="00087718">
              <w:rPr>
                <w:rFonts w:ascii="Verdana" w:eastAsia="Verdana" w:hAnsi="Verdana" w:cs="Verdana"/>
                <w:color w:val="FFFFFF"/>
                <w:sz w:val="16"/>
                <w:szCs w:val="16"/>
              </w:rPr>
              <w:t xml:space="preserve"> </w:t>
            </w:r>
          </w:p>
        </w:tc>
        <w:tc>
          <w:tcPr>
            <w:tcW w:w="736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b/>
                <w:color w:val="000000"/>
                <w:sz w:val="16"/>
                <w:szCs w:val="16"/>
              </w:rPr>
              <w:t>Target Risk Date</w:t>
            </w:r>
          </w:p>
        </w:tc>
        <w:tc>
          <w:tcPr>
            <w:tcW w:w="20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color w:val="000000"/>
                <w:sz w:val="16"/>
                <w:szCs w:val="16"/>
              </w:rPr>
              <w:t>01-</w:t>
            </w:r>
            <w:r w:rsidRPr="00914FCF">
              <w:rPr>
                <w:rFonts w:ascii="Verdana" w:eastAsia="Verdana" w:hAnsi="Verdana" w:cs="Verdana"/>
                <w:sz w:val="16"/>
                <w:szCs w:val="16"/>
              </w:rPr>
              <w:t>Apr-</w:t>
            </w:r>
            <w:r w:rsidR="00E17F2F" w:rsidRPr="00914FCF">
              <w:rPr>
                <w:rFonts w:ascii="Verdana" w:eastAsia="Verdana" w:hAnsi="Verdana" w:cs="Verdana"/>
                <w:i/>
                <w:sz w:val="16"/>
                <w:szCs w:val="16"/>
              </w:rPr>
              <w:t>2016</w:t>
            </w:r>
          </w:p>
        </w:tc>
      </w:tr>
      <w:tr w:rsidR="002617F1" w:rsidTr="00B67E81">
        <w:tc>
          <w:tcPr>
            <w:tcW w:w="2025"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087718" w:rsidRDefault="002617F1" w:rsidP="00B67E81">
            <w:pPr>
              <w:rPr>
                <w:rFonts w:ascii="Verdana" w:eastAsia="Verdana" w:hAnsi="Verdana" w:cs="Verdana"/>
                <w:color w:val="000000"/>
                <w:sz w:val="16"/>
                <w:szCs w:val="16"/>
              </w:rPr>
            </w:pPr>
            <w:r w:rsidRPr="00087718">
              <w:rPr>
                <w:rFonts w:ascii="Verdana" w:eastAsia="Verdana" w:hAnsi="Verdana" w:cs="Verdana"/>
                <w:b/>
                <w:color w:val="000000"/>
                <w:sz w:val="16"/>
                <w:szCs w:val="16"/>
              </w:rPr>
              <w:t>Current Likelihood Description</w:t>
            </w:r>
          </w:p>
        </w:tc>
        <w:tc>
          <w:tcPr>
            <w:tcW w:w="21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color w:val="000000"/>
                <w:sz w:val="16"/>
                <w:szCs w:val="16"/>
              </w:rPr>
              <w:t>Reasonably probable</w:t>
            </w: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000000"/>
                <w:sz w:val="16"/>
                <w:szCs w:val="16"/>
              </w:rPr>
            </w:pPr>
            <w:r w:rsidRPr="00087718">
              <w:rPr>
                <w:rFonts w:ascii="Verdana" w:eastAsia="Verdana" w:hAnsi="Verdana" w:cs="Verdana"/>
                <w:color w:val="FFFFFF"/>
                <w:sz w:val="16"/>
                <w:szCs w:val="16"/>
              </w:rPr>
              <w:t xml:space="preserve"> </w:t>
            </w:r>
          </w:p>
        </w:tc>
        <w:tc>
          <w:tcPr>
            <w:tcW w:w="736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bookmarkStart w:id="0" w:name="_GoBack"/>
            <w:bookmarkEnd w:id="0"/>
            <w:r w:rsidRPr="00087718">
              <w:rPr>
                <w:rFonts w:ascii="Verdana" w:eastAsia="Verdana" w:hAnsi="Verdana" w:cs="Verdana"/>
                <w:b/>
                <w:color w:val="000000"/>
                <w:sz w:val="16"/>
                <w:szCs w:val="16"/>
              </w:rPr>
              <w:t>Target Risk Score</w:t>
            </w:r>
          </w:p>
        </w:tc>
        <w:tc>
          <w:tcPr>
            <w:tcW w:w="20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color w:val="000000"/>
                <w:sz w:val="16"/>
                <w:szCs w:val="16"/>
              </w:rPr>
              <w:t>4</w:t>
            </w:r>
          </w:p>
        </w:tc>
      </w:tr>
      <w:tr w:rsidR="002617F1" w:rsidTr="00B67E81">
        <w:tc>
          <w:tcPr>
            <w:tcW w:w="2025"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2617F1" w:rsidRPr="00087718" w:rsidRDefault="002617F1" w:rsidP="00B67E81">
            <w:pPr>
              <w:rPr>
                <w:rFonts w:ascii="Verdana" w:eastAsia="Verdana" w:hAnsi="Verdana" w:cs="Verdana"/>
                <w:color w:val="000000"/>
                <w:sz w:val="16"/>
                <w:szCs w:val="16"/>
              </w:rPr>
            </w:pPr>
            <w:r w:rsidRPr="00087718">
              <w:rPr>
                <w:rFonts w:ascii="Verdana" w:eastAsia="Verdana" w:hAnsi="Verdana" w:cs="Verdana"/>
                <w:b/>
                <w:color w:val="000000"/>
                <w:sz w:val="16"/>
                <w:szCs w:val="16"/>
              </w:rPr>
              <w:t>Risk Score</w:t>
            </w:r>
          </w:p>
        </w:tc>
        <w:tc>
          <w:tcPr>
            <w:tcW w:w="21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color w:val="000000"/>
                <w:sz w:val="16"/>
                <w:szCs w:val="16"/>
              </w:rPr>
              <w:t>9</w:t>
            </w: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000000"/>
                <w:sz w:val="16"/>
                <w:szCs w:val="16"/>
              </w:rPr>
            </w:pPr>
            <w:r w:rsidRPr="00087718">
              <w:rPr>
                <w:rFonts w:ascii="Verdana" w:eastAsia="Verdana" w:hAnsi="Verdana" w:cs="Verdana"/>
                <w:color w:val="FFFFFF"/>
                <w:sz w:val="16"/>
                <w:szCs w:val="16"/>
              </w:rPr>
              <w:t xml:space="preserve"> </w:t>
            </w:r>
          </w:p>
        </w:tc>
        <w:tc>
          <w:tcPr>
            <w:tcW w:w="7368"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207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r>
      <w:tr w:rsidR="002617F1" w:rsidTr="00B67E81">
        <w:tc>
          <w:tcPr>
            <w:tcW w:w="20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21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736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b/>
                <w:color w:val="000000"/>
                <w:sz w:val="16"/>
                <w:szCs w:val="16"/>
              </w:rPr>
              <w:t>Lead Officer</w:t>
            </w:r>
          </w:p>
        </w:tc>
        <w:tc>
          <w:tcPr>
            <w:tcW w:w="20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color w:val="000000"/>
                <w:sz w:val="16"/>
                <w:szCs w:val="16"/>
              </w:rPr>
              <w:t>Senior Management Team</w:t>
            </w:r>
          </w:p>
        </w:tc>
      </w:tr>
      <w:tr w:rsidR="002617F1" w:rsidTr="00B67E81">
        <w:tc>
          <w:tcPr>
            <w:tcW w:w="20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000000"/>
                <w:sz w:val="16"/>
                <w:szCs w:val="16"/>
              </w:rPr>
            </w:pPr>
            <w:r w:rsidRPr="00087718">
              <w:rPr>
                <w:rFonts w:ascii="Verdana" w:eastAsia="Verdana" w:hAnsi="Verdana" w:cs="Verdana"/>
                <w:color w:val="FFFFFF"/>
                <w:sz w:val="16"/>
                <w:szCs w:val="16"/>
              </w:rPr>
              <w:t xml:space="preserve"> </w:t>
            </w:r>
          </w:p>
        </w:tc>
        <w:tc>
          <w:tcPr>
            <w:tcW w:w="21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color w:val="FFFFFF"/>
                <w:sz w:val="16"/>
                <w:szCs w:val="16"/>
              </w:rPr>
              <w:t xml:space="preserve"> </w:t>
            </w:r>
          </w:p>
        </w:tc>
        <w:tc>
          <w:tcPr>
            <w:tcW w:w="736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r w:rsidRPr="00087718">
              <w:rPr>
                <w:rFonts w:ascii="Verdana" w:eastAsia="Verdana" w:hAnsi="Verdana" w:cs="Verdana"/>
                <w:b/>
                <w:color w:val="000000"/>
                <w:sz w:val="16"/>
                <w:szCs w:val="16"/>
              </w:rPr>
              <w:t>Portfolio Holder</w:t>
            </w:r>
          </w:p>
        </w:tc>
        <w:tc>
          <w:tcPr>
            <w:tcW w:w="20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b/>
                <w:color w:val="000000"/>
                <w:sz w:val="16"/>
                <w:szCs w:val="16"/>
              </w:rPr>
            </w:pPr>
            <w:r w:rsidRPr="00087718">
              <w:rPr>
                <w:rFonts w:ascii="Verdana" w:eastAsia="Verdana" w:hAnsi="Verdana" w:cs="Verdana"/>
                <w:color w:val="000000"/>
                <w:sz w:val="16"/>
                <w:szCs w:val="16"/>
              </w:rPr>
              <w:t>Councillor Tickner</w:t>
            </w:r>
          </w:p>
        </w:tc>
      </w:tr>
      <w:tr w:rsidR="002617F1" w:rsidTr="00B67E81">
        <w:tc>
          <w:tcPr>
            <w:tcW w:w="20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p>
        </w:tc>
        <w:tc>
          <w:tcPr>
            <w:tcW w:w="2125"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p>
        </w:tc>
        <w:tc>
          <w:tcPr>
            <w:tcW w:w="1842" w:type="dxa"/>
            <w:tcBorders>
              <w:top w:val="none" w:sz="0" w:space="0" w:color="FFFFFF"/>
              <w:left w:val="none" w:sz="0" w:space="0" w:color="FFFFFF"/>
              <w:bottom w:val="none" w:sz="0" w:space="0" w:color="FFFFFF"/>
              <w:right w:val="none" w:sz="0" w:space="0" w:color="FFFFFF"/>
            </w:tcBorders>
            <w:shd w:val="clear" w:color="auto" w:fill="FFFFFF"/>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color w:val="FFFFFF"/>
                <w:sz w:val="16"/>
                <w:szCs w:val="16"/>
              </w:rPr>
            </w:pPr>
          </w:p>
        </w:tc>
        <w:tc>
          <w:tcPr>
            <w:tcW w:w="7368" w:type="dxa"/>
            <w:tcBorders>
              <w:top w:val="single" w:sz="8" w:space="0" w:color="78786E"/>
              <w:left w:val="single" w:sz="8" w:space="0" w:color="78786E"/>
              <w:bottom w:val="single" w:sz="8" w:space="0" w:color="78786E"/>
              <w:right w:val="single" w:sz="8" w:space="0" w:color="78786E"/>
            </w:tcBorders>
            <w:shd w:val="clear" w:color="auto" w:fill="D3D3D3"/>
            <w:tcMar>
              <w:top w:w="40" w:type="dxa"/>
              <w:left w:w="40" w:type="dxa"/>
              <w:bottom w:w="40" w:type="dxa"/>
              <w:right w:w="40" w:type="dxa"/>
            </w:tcMar>
            <w:vAlign w:val="center"/>
          </w:tcPr>
          <w:p w:rsidR="002617F1" w:rsidRPr="00087718" w:rsidRDefault="002617F1" w:rsidP="00B67E81">
            <w:pPr>
              <w:jc w:val="right"/>
              <w:rPr>
                <w:rFonts w:ascii="Verdana" w:eastAsia="Verdana" w:hAnsi="Verdana" w:cs="Verdana"/>
                <w:b/>
                <w:color w:val="000000"/>
                <w:sz w:val="16"/>
                <w:szCs w:val="16"/>
              </w:rPr>
            </w:pPr>
            <w:r w:rsidRPr="00087718">
              <w:rPr>
                <w:rFonts w:ascii="Verdana" w:eastAsia="Verdana" w:hAnsi="Verdana" w:cs="Verdana"/>
                <w:b/>
                <w:color w:val="000000"/>
                <w:sz w:val="16"/>
                <w:szCs w:val="16"/>
              </w:rPr>
              <w:t>Overview and Scrutiny Panel</w:t>
            </w:r>
          </w:p>
        </w:tc>
        <w:tc>
          <w:tcPr>
            <w:tcW w:w="20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617F1" w:rsidRPr="00087718" w:rsidRDefault="002617F1" w:rsidP="00B67E81">
            <w:pPr>
              <w:jc w:val="center"/>
              <w:rPr>
                <w:rFonts w:ascii="Verdana" w:eastAsia="Verdana" w:hAnsi="Verdana" w:cs="Verdana"/>
                <w:color w:val="000000"/>
                <w:sz w:val="16"/>
                <w:szCs w:val="16"/>
              </w:rPr>
            </w:pPr>
            <w:r w:rsidRPr="00087718">
              <w:rPr>
                <w:rFonts w:ascii="Verdana" w:eastAsia="Verdana" w:hAnsi="Verdana" w:cs="Verdana"/>
                <w:color w:val="000000"/>
                <w:sz w:val="16"/>
                <w:szCs w:val="16"/>
              </w:rPr>
              <w:t>Resources</w:t>
            </w:r>
          </w:p>
        </w:tc>
      </w:tr>
    </w:tbl>
    <w:p w:rsidR="00B67E81" w:rsidRPr="00717046" w:rsidRDefault="00B67E81" w:rsidP="00717046"/>
    <w:sectPr w:rsidR="00B67E81" w:rsidRPr="00717046" w:rsidSect="002617F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F1"/>
    <w:rsid w:val="000A6F78"/>
    <w:rsid w:val="000C5E03"/>
    <w:rsid w:val="00107DDF"/>
    <w:rsid w:val="00154787"/>
    <w:rsid w:val="0018247E"/>
    <w:rsid w:val="0021752E"/>
    <w:rsid w:val="002617F1"/>
    <w:rsid w:val="00292579"/>
    <w:rsid w:val="002C4757"/>
    <w:rsid w:val="00356257"/>
    <w:rsid w:val="003E3105"/>
    <w:rsid w:val="004975D9"/>
    <w:rsid w:val="004A59FF"/>
    <w:rsid w:val="00507AB0"/>
    <w:rsid w:val="00520FE0"/>
    <w:rsid w:val="00526374"/>
    <w:rsid w:val="0058735C"/>
    <w:rsid w:val="006C2C05"/>
    <w:rsid w:val="00717046"/>
    <w:rsid w:val="00797992"/>
    <w:rsid w:val="007C311C"/>
    <w:rsid w:val="007E717F"/>
    <w:rsid w:val="0081218D"/>
    <w:rsid w:val="0084510F"/>
    <w:rsid w:val="00876D7E"/>
    <w:rsid w:val="008E1504"/>
    <w:rsid w:val="00914FCF"/>
    <w:rsid w:val="009531DD"/>
    <w:rsid w:val="00955A6B"/>
    <w:rsid w:val="009567EF"/>
    <w:rsid w:val="009C3B65"/>
    <w:rsid w:val="00A01CB4"/>
    <w:rsid w:val="00A52B61"/>
    <w:rsid w:val="00A602E9"/>
    <w:rsid w:val="00A71300"/>
    <w:rsid w:val="00A77B17"/>
    <w:rsid w:val="00A9609F"/>
    <w:rsid w:val="00AA7AB0"/>
    <w:rsid w:val="00AE3290"/>
    <w:rsid w:val="00AF76F0"/>
    <w:rsid w:val="00B34497"/>
    <w:rsid w:val="00B67E81"/>
    <w:rsid w:val="00C268A2"/>
    <w:rsid w:val="00C8455E"/>
    <w:rsid w:val="00CC4F39"/>
    <w:rsid w:val="00CD3180"/>
    <w:rsid w:val="00CF4976"/>
    <w:rsid w:val="00D634CE"/>
    <w:rsid w:val="00E02818"/>
    <w:rsid w:val="00E17F2F"/>
    <w:rsid w:val="00E60E93"/>
    <w:rsid w:val="00E74F8A"/>
    <w:rsid w:val="00E841E7"/>
    <w:rsid w:val="00E93B49"/>
    <w:rsid w:val="00EB52BB"/>
    <w:rsid w:val="00F2197F"/>
    <w:rsid w:val="00F22601"/>
    <w:rsid w:val="00F86A32"/>
    <w:rsid w:val="00F946FC"/>
    <w:rsid w:val="00FA2F1A"/>
    <w:rsid w:val="00FB1A8C"/>
    <w:rsid w:val="00FC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F1"/>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E93B49"/>
    <w:pPr>
      <w:keepNext/>
      <w:keepLines/>
      <w:spacing w:before="480" w:line="276" w:lineRule="auto"/>
      <w:outlineLvl w:val="0"/>
    </w:pPr>
    <w:rPr>
      <w:rFonts w:ascii="Tahoma" w:eastAsiaTheme="majorEastAsia" w:hAnsi="Tahoma" w:cstheme="majorBidi"/>
      <w:b/>
      <w:bCs/>
      <w:sz w:val="28"/>
      <w:szCs w:val="28"/>
      <w:lang w:eastAsia="en-US"/>
    </w:rPr>
  </w:style>
  <w:style w:type="paragraph" w:styleId="Heading2">
    <w:name w:val="heading 2"/>
    <w:basedOn w:val="Normal"/>
    <w:next w:val="Normal"/>
    <w:link w:val="Heading2Char"/>
    <w:uiPriority w:val="9"/>
    <w:unhideWhenUsed/>
    <w:qFormat/>
    <w:rsid w:val="00E93B49"/>
    <w:pPr>
      <w:keepNext/>
      <w:keepLines/>
      <w:spacing w:before="200" w:line="276" w:lineRule="auto"/>
      <w:outlineLvl w:val="1"/>
    </w:pPr>
    <w:rPr>
      <w:rFonts w:ascii="Tahoma" w:eastAsiaTheme="majorEastAsia" w:hAnsi="Tahoma" w:cstheme="majorBidi"/>
      <w:b/>
      <w:bCs/>
      <w:sz w:val="26"/>
      <w:szCs w:val="26"/>
      <w:lang w:eastAsia="en-US"/>
    </w:rPr>
  </w:style>
  <w:style w:type="paragraph" w:styleId="Heading3">
    <w:name w:val="heading 3"/>
    <w:basedOn w:val="Normal"/>
    <w:next w:val="Normal"/>
    <w:link w:val="Heading3Char"/>
    <w:uiPriority w:val="9"/>
    <w:semiHidden/>
    <w:unhideWhenUsed/>
    <w:qFormat/>
    <w:rsid w:val="00E93B49"/>
    <w:pPr>
      <w:keepNext/>
      <w:keepLines/>
      <w:spacing w:before="200" w:line="276" w:lineRule="auto"/>
      <w:outlineLvl w:val="2"/>
    </w:pPr>
    <w:rPr>
      <w:rFonts w:ascii="Tahoma" w:eastAsiaTheme="majorEastAsia" w:hAnsi="Tahoma" w:cstheme="majorBidi"/>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line="240" w:lineRule="auto"/>
      <w:contextualSpacing/>
    </w:pPr>
    <w:rPr>
      <w:rFonts w:ascii="Tahoma" w:eastAsiaTheme="majorEastAsia" w:hAnsi="Tahoma" w:cstheme="majorBidi"/>
      <w:spacing w:val="5"/>
      <w:kern w:val="28"/>
      <w:sz w:val="52"/>
      <w:szCs w:val="52"/>
      <w:lang w:eastAsia="en-US"/>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spacing w:line="276" w:lineRule="auto"/>
    </w:pPr>
    <w:rPr>
      <w:rFonts w:ascii="Tahoma" w:eastAsiaTheme="majorEastAsia" w:hAnsi="Tahoma" w:cstheme="majorBidi"/>
      <w:i/>
      <w:iCs/>
      <w:spacing w:val="15"/>
      <w:szCs w:val="24"/>
      <w:lang w:eastAsia="en-US"/>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pPr>
      <w:spacing w:line="276" w:lineRule="auto"/>
    </w:pPr>
    <w:rPr>
      <w:rFonts w:eastAsiaTheme="minorHAnsi" w:cstheme="minorBidi"/>
      <w:i/>
      <w:iCs/>
      <w:szCs w:val="22"/>
      <w:lang w:eastAsia="en-U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line="276" w:lineRule="auto"/>
      <w:ind w:left="936" w:right="936"/>
    </w:pPr>
    <w:rPr>
      <w:rFonts w:eastAsiaTheme="minorHAnsi" w:cstheme="minorBidi"/>
      <w:b/>
      <w:bCs/>
      <w:i/>
      <w:iCs/>
      <w:szCs w:val="22"/>
      <w:lang w:eastAsia="en-U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spacing w:line="276" w:lineRule="auto"/>
      <w:ind w:left="720"/>
      <w:contextualSpacing/>
    </w:pPr>
    <w:rPr>
      <w:rFonts w:eastAsiaTheme="minorHAnsi" w:cstheme="minorBidi"/>
      <w:szCs w:val="22"/>
      <w:lang w:eastAsia="en-US"/>
    </w:rPr>
  </w:style>
  <w:style w:type="paragraph" w:styleId="BalloonText">
    <w:name w:val="Balloon Text"/>
    <w:basedOn w:val="Normal"/>
    <w:link w:val="BalloonTextChar"/>
    <w:uiPriority w:val="99"/>
    <w:semiHidden/>
    <w:unhideWhenUsed/>
    <w:rsid w:val="002617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F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F1"/>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E93B49"/>
    <w:pPr>
      <w:keepNext/>
      <w:keepLines/>
      <w:spacing w:before="480" w:line="276" w:lineRule="auto"/>
      <w:outlineLvl w:val="0"/>
    </w:pPr>
    <w:rPr>
      <w:rFonts w:ascii="Tahoma" w:eastAsiaTheme="majorEastAsia" w:hAnsi="Tahoma" w:cstheme="majorBidi"/>
      <w:b/>
      <w:bCs/>
      <w:sz w:val="28"/>
      <w:szCs w:val="28"/>
      <w:lang w:eastAsia="en-US"/>
    </w:rPr>
  </w:style>
  <w:style w:type="paragraph" w:styleId="Heading2">
    <w:name w:val="heading 2"/>
    <w:basedOn w:val="Normal"/>
    <w:next w:val="Normal"/>
    <w:link w:val="Heading2Char"/>
    <w:uiPriority w:val="9"/>
    <w:unhideWhenUsed/>
    <w:qFormat/>
    <w:rsid w:val="00E93B49"/>
    <w:pPr>
      <w:keepNext/>
      <w:keepLines/>
      <w:spacing w:before="200" w:line="276" w:lineRule="auto"/>
      <w:outlineLvl w:val="1"/>
    </w:pPr>
    <w:rPr>
      <w:rFonts w:ascii="Tahoma" w:eastAsiaTheme="majorEastAsia" w:hAnsi="Tahoma" w:cstheme="majorBidi"/>
      <w:b/>
      <w:bCs/>
      <w:sz w:val="26"/>
      <w:szCs w:val="26"/>
      <w:lang w:eastAsia="en-US"/>
    </w:rPr>
  </w:style>
  <w:style w:type="paragraph" w:styleId="Heading3">
    <w:name w:val="heading 3"/>
    <w:basedOn w:val="Normal"/>
    <w:next w:val="Normal"/>
    <w:link w:val="Heading3Char"/>
    <w:uiPriority w:val="9"/>
    <w:semiHidden/>
    <w:unhideWhenUsed/>
    <w:qFormat/>
    <w:rsid w:val="00E93B49"/>
    <w:pPr>
      <w:keepNext/>
      <w:keepLines/>
      <w:spacing w:before="200" w:line="276" w:lineRule="auto"/>
      <w:outlineLvl w:val="2"/>
    </w:pPr>
    <w:rPr>
      <w:rFonts w:ascii="Tahoma" w:eastAsiaTheme="majorEastAsia" w:hAnsi="Tahoma" w:cstheme="majorBidi"/>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line="240" w:lineRule="auto"/>
      <w:contextualSpacing/>
    </w:pPr>
    <w:rPr>
      <w:rFonts w:ascii="Tahoma" w:eastAsiaTheme="majorEastAsia" w:hAnsi="Tahoma" w:cstheme="majorBidi"/>
      <w:spacing w:val="5"/>
      <w:kern w:val="28"/>
      <w:sz w:val="52"/>
      <w:szCs w:val="52"/>
      <w:lang w:eastAsia="en-US"/>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spacing w:line="276" w:lineRule="auto"/>
    </w:pPr>
    <w:rPr>
      <w:rFonts w:ascii="Tahoma" w:eastAsiaTheme="majorEastAsia" w:hAnsi="Tahoma" w:cstheme="majorBidi"/>
      <w:i/>
      <w:iCs/>
      <w:spacing w:val="15"/>
      <w:szCs w:val="24"/>
      <w:lang w:eastAsia="en-US"/>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pPr>
      <w:spacing w:line="276" w:lineRule="auto"/>
    </w:pPr>
    <w:rPr>
      <w:rFonts w:eastAsiaTheme="minorHAnsi" w:cstheme="minorBidi"/>
      <w:i/>
      <w:iCs/>
      <w:szCs w:val="22"/>
      <w:lang w:eastAsia="en-U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line="276" w:lineRule="auto"/>
      <w:ind w:left="936" w:right="936"/>
    </w:pPr>
    <w:rPr>
      <w:rFonts w:eastAsiaTheme="minorHAnsi" w:cstheme="minorBidi"/>
      <w:b/>
      <w:bCs/>
      <w:i/>
      <w:iCs/>
      <w:szCs w:val="22"/>
      <w:lang w:eastAsia="en-U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spacing w:line="276" w:lineRule="auto"/>
      <w:ind w:left="720"/>
      <w:contextualSpacing/>
    </w:pPr>
    <w:rPr>
      <w:rFonts w:eastAsiaTheme="minorHAnsi" w:cstheme="minorBidi"/>
      <w:szCs w:val="22"/>
      <w:lang w:eastAsia="en-US"/>
    </w:rPr>
  </w:style>
  <w:style w:type="paragraph" w:styleId="BalloonText">
    <w:name w:val="Balloon Text"/>
    <w:basedOn w:val="Normal"/>
    <w:link w:val="BalloonTextChar"/>
    <w:uiPriority w:val="99"/>
    <w:semiHidden/>
    <w:unhideWhenUsed/>
    <w:rsid w:val="002617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F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A974B24317EB4AACAEA30D24379173" ma:contentTypeVersion="0" ma:contentTypeDescription="Create a new document." ma:contentTypeScope="" ma:versionID="0ffb8208ca801e28d33b1a7802140a35">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1 xmlns="2827cf95-1867-45d9-9da9-2f3ef88d7c5b" xsi:nil="true"/>
  </documentManagement>
</p:properties>
</file>

<file path=customXml/itemProps1.xml><?xml version="1.0" encoding="utf-8"?>
<ds:datastoreItem xmlns:ds="http://schemas.openxmlformats.org/officeDocument/2006/customXml" ds:itemID="{07ED5405-23E4-433E-806C-3B0548F2A638}"/>
</file>

<file path=customXml/itemProps2.xml><?xml version="1.0" encoding="utf-8"?>
<ds:datastoreItem xmlns:ds="http://schemas.openxmlformats.org/officeDocument/2006/customXml" ds:itemID="{8E942888-E123-4275-A9DC-5253FF5A9040}"/>
</file>

<file path=customXml/itemProps3.xml><?xml version="1.0" encoding="utf-8"?>
<ds:datastoreItem xmlns:ds="http://schemas.openxmlformats.org/officeDocument/2006/customXml" ds:itemID="{64C94E33-B099-4411-A669-E5AC9ADD0163}"/>
</file>

<file path=customXml/itemProps4.xml><?xml version="1.0" encoding="utf-8"?>
<ds:datastoreItem xmlns:ds="http://schemas.openxmlformats.org/officeDocument/2006/customXml" ds:itemID="{5AEAA500-45A1-4C64-8AAD-72855A43CE00}"/>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v2</vt:lpstr>
    </vt:vector>
  </TitlesOfParts>
  <Company>Carlisle City Council</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Mason</dc:creator>
  <cp:lastModifiedBy>Sarah Mason</cp:lastModifiedBy>
  <cp:revision>2</cp:revision>
  <cp:lastPrinted>2015-08-27T10:29:00Z</cp:lastPrinted>
  <dcterms:created xsi:type="dcterms:W3CDTF">2015-08-27T11:23:00Z</dcterms:created>
  <dcterms:modified xsi:type="dcterms:W3CDTF">2015-08-27T11:23:00Z</dcterms:modified>
</cp:coreProperties>
</file>