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C48" w:rsidRDefault="009A5B47" w:rsidP="003F197C">
      <w:pPr>
        <w:spacing w:before="58" w:line="278" w:lineRule="exact"/>
        <w:ind w:right="144"/>
        <w:textAlignment w:val="baseline"/>
        <w:rPr>
          <w:rFonts w:ascii="Arial" w:eastAsia="Arial" w:hAnsi="Arial"/>
          <w:color w:val="000000"/>
          <w:spacing w:val="-1"/>
          <w:sz w:val="24"/>
        </w:rPr>
      </w:pPr>
      <w:r>
        <w:pict>
          <v:shapetype id="_x0000_t202" coordsize="21600,21600" o:spt="202" path="m,l,21600r21600,l21600,xe">
            <v:stroke joinstyle="miter"/>
            <v:path gradientshapeok="t" o:connecttype="rect"/>
          </v:shapetype>
          <v:shape id="_x0000_s0" o:spid="_x0000_s1033" type="#_x0000_t202" style="position:absolute;margin-left:514.65pt;margin-top:781.05pt;width:14.2pt;height:10.7pt;z-index:-251661312;mso-wrap-distance-left:0;mso-wrap-distance-right:0;mso-position-horizontal-relative:page;mso-position-vertical-relative:page" filled="f" stroked="f">
            <v:textbox inset="0,0,0,0">
              <w:txbxContent>
                <w:p w:rsidR="00B17C48" w:rsidRDefault="00ED35B9">
                  <w:pPr>
                    <w:spacing w:line="204" w:lineRule="exact"/>
                    <w:textAlignment w:val="baseline"/>
                    <w:rPr>
                      <w:rFonts w:ascii="Verdana" w:eastAsia="Verdana" w:hAnsi="Verdana"/>
                      <w:color w:val="000000"/>
                      <w:sz w:val="17"/>
                    </w:rPr>
                  </w:pPr>
                  <w:r>
                    <w:rPr>
                      <w:rFonts w:ascii="Verdana" w:eastAsia="Verdana" w:hAnsi="Verdana"/>
                      <w:color w:val="000000"/>
                      <w:sz w:val="17"/>
                    </w:rPr>
                    <w:t>1</w:t>
                  </w:r>
                </w:p>
              </w:txbxContent>
            </v:textbox>
            <w10:wrap type="square" anchorx="page" anchory="page"/>
          </v:shape>
        </w:pict>
      </w:r>
    </w:p>
    <w:p w:rsidR="00B17C48" w:rsidRDefault="00ED35B9">
      <w:pPr>
        <w:spacing w:before="235" w:line="280" w:lineRule="exact"/>
        <w:jc w:val="center"/>
        <w:textAlignment w:val="baseline"/>
        <w:rPr>
          <w:rFonts w:ascii="Arial" w:eastAsia="Arial" w:hAnsi="Arial"/>
          <w:b/>
          <w:color w:val="000000"/>
          <w:sz w:val="24"/>
        </w:rPr>
      </w:pPr>
      <w:r>
        <w:rPr>
          <w:rFonts w:ascii="Arial" w:eastAsia="Arial" w:hAnsi="Arial"/>
          <w:b/>
          <w:color w:val="000000"/>
          <w:sz w:val="24"/>
        </w:rPr>
        <w:t>Carlisle City Council ECO Flexible Eligibility Statement of Intent</w:t>
      </w:r>
    </w:p>
    <w:p w:rsidR="00B17C48" w:rsidRDefault="00ED35B9">
      <w:pPr>
        <w:spacing w:before="239" w:line="280" w:lineRule="exact"/>
        <w:jc w:val="center"/>
        <w:textAlignment w:val="baseline"/>
        <w:rPr>
          <w:rFonts w:ascii="Arial" w:eastAsia="Arial" w:hAnsi="Arial"/>
          <w:b/>
          <w:color w:val="000000"/>
          <w:sz w:val="24"/>
        </w:rPr>
      </w:pPr>
      <w:r>
        <w:rPr>
          <w:rFonts w:ascii="Arial" w:eastAsia="Arial" w:hAnsi="Arial"/>
          <w:b/>
          <w:color w:val="000000"/>
          <w:sz w:val="24"/>
        </w:rPr>
        <w:t>Local authority: Carlisle City Council</w:t>
      </w:r>
    </w:p>
    <w:p w:rsidR="00B17C48" w:rsidRDefault="00ED35B9" w:rsidP="00182F65">
      <w:pPr>
        <w:tabs>
          <w:tab w:val="left" w:pos="6624"/>
        </w:tabs>
        <w:spacing w:line="516" w:lineRule="exact"/>
        <w:textAlignment w:val="baseline"/>
        <w:rPr>
          <w:rFonts w:ascii="Arial" w:eastAsia="Arial" w:hAnsi="Arial"/>
          <w:b/>
          <w:color w:val="000000"/>
          <w:sz w:val="24"/>
        </w:rPr>
      </w:pPr>
      <w:r>
        <w:rPr>
          <w:rFonts w:ascii="Arial" w:eastAsia="Arial" w:hAnsi="Arial"/>
          <w:b/>
          <w:color w:val="000000"/>
          <w:sz w:val="24"/>
        </w:rPr>
        <w:t>Publication Date:</w:t>
      </w:r>
      <w:r w:rsidR="00E77D7A">
        <w:rPr>
          <w:rFonts w:ascii="Arial" w:eastAsia="Arial" w:hAnsi="Arial"/>
          <w:b/>
          <w:color w:val="000000"/>
          <w:sz w:val="24"/>
        </w:rPr>
        <w:t xml:space="preserve"> 18</w:t>
      </w:r>
      <w:r w:rsidR="00E77D7A" w:rsidRPr="00E77D7A">
        <w:rPr>
          <w:rFonts w:ascii="Arial" w:eastAsia="Arial" w:hAnsi="Arial"/>
          <w:b/>
          <w:color w:val="000000"/>
          <w:sz w:val="24"/>
          <w:vertAlign w:val="superscript"/>
        </w:rPr>
        <w:t>th</w:t>
      </w:r>
      <w:r w:rsidR="00E77D7A">
        <w:rPr>
          <w:rFonts w:ascii="Arial" w:eastAsia="Arial" w:hAnsi="Arial"/>
          <w:b/>
          <w:color w:val="000000"/>
          <w:sz w:val="24"/>
        </w:rPr>
        <w:t xml:space="preserve"> June 2018</w:t>
      </w:r>
      <w:r>
        <w:rPr>
          <w:rFonts w:ascii="Arial" w:eastAsia="Arial" w:hAnsi="Arial"/>
          <w:b/>
          <w:color w:val="000000"/>
          <w:sz w:val="24"/>
        </w:rPr>
        <w:tab/>
        <w:t xml:space="preserve">Version: </w:t>
      </w:r>
      <w:r w:rsidR="00E77D7A">
        <w:rPr>
          <w:rFonts w:ascii="Arial" w:eastAsia="Arial" w:hAnsi="Arial"/>
          <w:b/>
          <w:color w:val="000000"/>
          <w:sz w:val="24"/>
        </w:rPr>
        <w:t>1</w:t>
      </w:r>
      <w:bookmarkStart w:id="0" w:name="_GoBack"/>
      <w:bookmarkEnd w:id="0"/>
      <w:r>
        <w:rPr>
          <w:rFonts w:ascii="Arial" w:eastAsia="Arial" w:hAnsi="Arial"/>
          <w:b/>
          <w:color w:val="000000"/>
          <w:sz w:val="24"/>
        </w:rPr>
        <w:br/>
        <w:t>Introduction</w:t>
      </w:r>
    </w:p>
    <w:p w:rsidR="00B17C48" w:rsidRDefault="00ED35B9">
      <w:pPr>
        <w:spacing w:before="202" w:line="317" w:lineRule="exact"/>
        <w:ind w:right="72"/>
        <w:textAlignment w:val="baseline"/>
        <w:rPr>
          <w:rFonts w:ascii="Arial" w:eastAsia="Arial" w:hAnsi="Arial"/>
          <w:color w:val="000000"/>
          <w:spacing w:val="-1"/>
          <w:sz w:val="24"/>
        </w:rPr>
      </w:pPr>
      <w:r>
        <w:rPr>
          <w:rFonts w:ascii="Arial" w:eastAsia="Arial" w:hAnsi="Arial"/>
          <w:color w:val="000000"/>
          <w:spacing w:val="-1"/>
          <w:sz w:val="24"/>
        </w:rPr>
        <w:t>This statement sets out Carlisle City Council’s flexible eligibility criteria for the Energy Company Obligation (ECO) scheme for April 2017 – March 2022 with the first 18 months until September 2018 (ECO2t) being a transition period. This is a new government initiative to allow a more flexible approach to enable more people to benefit from energy company grants. These grants can go towards insulation and heating measures including cavity wall and loft insulation, replacement oil boilers and new gas central heating systems. The local authority must publish a statement of intent defining how they are going to identify “eligible” households and the criteria on which properties and households can be subject to a “declaration” for inclusion in any schemes.</w:t>
      </w:r>
    </w:p>
    <w:p w:rsidR="00B17C48" w:rsidRDefault="00ED35B9">
      <w:pPr>
        <w:spacing w:before="201" w:line="317" w:lineRule="exact"/>
        <w:textAlignment w:val="baseline"/>
        <w:rPr>
          <w:rFonts w:ascii="Arial" w:eastAsia="Arial" w:hAnsi="Arial"/>
          <w:color w:val="000000"/>
          <w:sz w:val="24"/>
        </w:rPr>
      </w:pPr>
      <w:r>
        <w:rPr>
          <w:rFonts w:ascii="Arial" w:eastAsia="Arial" w:hAnsi="Arial"/>
          <w:color w:val="000000"/>
          <w:sz w:val="24"/>
        </w:rPr>
        <w:t>The ECO2T transition year until September 2018 includes a flexible eligibility component which will sit alongside the current main ECO scheme and is able to support those who have previously fallen outside of the criteria. Up to 10% of Energy suppliers ECO funding may be available to support Local Authority designed schemes to target 2 main categories of private sector housing tenure:</w:t>
      </w:r>
    </w:p>
    <w:p w:rsidR="00B17C48" w:rsidRDefault="00ED35B9">
      <w:pPr>
        <w:numPr>
          <w:ilvl w:val="0"/>
          <w:numId w:val="6"/>
        </w:numPr>
        <w:tabs>
          <w:tab w:val="clear" w:pos="360"/>
          <w:tab w:val="left" w:pos="720"/>
        </w:tabs>
        <w:spacing w:before="240" w:line="278" w:lineRule="exact"/>
        <w:ind w:hanging="360"/>
        <w:textAlignment w:val="baseline"/>
        <w:rPr>
          <w:rFonts w:ascii="Arial" w:eastAsia="Arial" w:hAnsi="Arial"/>
          <w:color w:val="000000"/>
          <w:sz w:val="24"/>
        </w:rPr>
      </w:pPr>
      <w:r>
        <w:rPr>
          <w:rFonts w:ascii="Arial" w:eastAsia="Arial" w:hAnsi="Arial"/>
          <w:color w:val="000000"/>
          <w:sz w:val="24"/>
        </w:rPr>
        <w:t>Households in fuel poverty</w:t>
      </w:r>
    </w:p>
    <w:p w:rsidR="00B17C48" w:rsidRDefault="00ED35B9">
      <w:pPr>
        <w:numPr>
          <w:ilvl w:val="0"/>
          <w:numId w:val="6"/>
        </w:numPr>
        <w:tabs>
          <w:tab w:val="clear" w:pos="360"/>
          <w:tab w:val="left" w:pos="720"/>
        </w:tabs>
        <w:spacing w:line="317" w:lineRule="exact"/>
        <w:ind w:right="576" w:hanging="360"/>
        <w:textAlignment w:val="baseline"/>
        <w:rPr>
          <w:rFonts w:ascii="Arial" w:eastAsia="Arial" w:hAnsi="Arial"/>
          <w:color w:val="000000"/>
          <w:sz w:val="24"/>
        </w:rPr>
      </w:pPr>
      <w:r>
        <w:rPr>
          <w:rFonts w:ascii="Arial" w:eastAsia="Arial" w:hAnsi="Arial"/>
          <w:color w:val="000000"/>
          <w:sz w:val="24"/>
        </w:rPr>
        <w:t>People living on a low income and vulnerable to the effects of living in a cold home.</w:t>
      </w:r>
    </w:p>
    <w:p w:rsidR="00B17C48" w:rsidRDefault="00ED35B9">
      <w:pPr>
        <w:spacing w:before="200" w:line="317" w:lineRule="exact"/>
        <w:ind w:right="216"/>
        <w:textAlignment w:val="baseline"/>
        <w:rPr>
          <w:rFonts w:ascii="Arial" w:eastAsia="Arial" w:hAnsi="Arial"/>
          <w:color w:val="000000"/>
          <w:sz w:val="24"/>
        </w:rPr>
      </w:pPr>
      <w:r>
        <w:rPr>
          <w:rFonts w:ascii="Arial" w:eastAsia="Arial" w:hAnsi="Arial"/>
          <w:color w:val="000000"/>
          <w:sz w:val="24"/>
        </w:rPr>
        <w:t>This policy will support the City Council’s housing strategy with regard to tackling fuel poverty. Fuel poverty occurs when a household spends, or needs to spend, more than 10% of its income on heating its home to an adequate level of warmth. Excess Cold consistently comes out as the most common and significant hazard along with Damp and Mould Growth when inspections are carried out; both are caused by a lack of affordable heating and poor insulation.</w:t>
      </w:r>
    </w:p>
    <w:p w:rsidR="00B17C48" w:rsidRDefault="00ED35B9">
      <w:pPr>
        <w:spacing w:before="201" w:line="317" w:lineRule="exact"/>
        <w:ind w:right="72"/>
        <w:textAlignment w:val="baseline"/>
        <w:rPr>
          <w:rFonts w:ascii="Arial" w:eastAsia="Arial" w:hAnsi="Arial"/>
          <w:color w:val="000000"/>
          <w:sz w:val="24"/>
        </w:rPr>
      </w:pPr>
      <w:r>
        <w:rPr>
          <w:rFonts w:ascii="Arial" w:eastAsia="Arial" w:hAnsi="Arial"/>
          <w:color w:val="000000"/>
          <w:sz w:val="24"/>
        </w:rPr>
        <w:t>More vulnerable residents, such as those living with an adaption in their property, may have more sedentary lifestyles that require higher room temperatures than the average homes; often living in poorly insulated homes, and with lower than average income, these residents are hit hardest by rising fuel prices. There is a need to ensure that there is a fall back for those residents whose heating fails during the coldest periods of the year.</w:t>
      </w:r>
    </w:p>
    <w:p w:rsidR="00B17C48" w:rsidRDefault="00ED35B9">
      <w:pPr>
        <w:spacing w:before="201" w:after="407" w:line="317" w:lineRule="exact"/>
        <w:ind w:right="72"/>
        <w:textAlignment w:val="baseline"/>
        <w:rPr>
          <w:rFonts w:ascii="Arial" w:eastAsia="Arial" w:hAnsi="Arial"/>
          <w:color w:val="000000"/>
          <w:spacing w:val="-1"/>
          <w:sz w:val="24"/>
        </w:rPr>
      </w:pPr>
      <w:r>
        <w:rPr>
          <w:rFonts w:ascii="Arial" w:eastAsia="Arial" w:hAnsi="Arial"/>
          <w:color w:val="000000"/>
          <w:spacing w:val="-1"/>
          <w:sz w:val="24"/>
        </w:rPr>
        <w:t>However, recent figures</w:t>
      </w:r>
      <w:r>
        <w:rPr>
          <w:rFonts w:ascii="Arial" w:eastAsia="Arial" w:hAnsi="Arial"/>
          <w:color w:val="000000"/>
          <w:spacing w:val="-1"/>
          <w:sz w:val="24"/>
          <w:vertAlign w:val="superscript"/>
        </w:rPr>
        <w:t>1</w:t>
      </w:r>
      <w:r>
        <w:rPr>
          <w:rFonts w:ascii="Arial" w:eastAsia="Arial" w:hAnsi="Arial"/>
          <w:color w:val="000000"/>
          <w:spacing w:val="-1"/>
          <w:sz w:val="24"/>
        </w:rPr>
        <w:t xml:space="preserve"> indicate that more and more working families are being drawn into fuel poverty as well, and this needs addressing. With more people living in private sector accommodation, there is a need to address conditions in the private rented</w:t>
      </w:r>
    </w:p>
    <w:p w:rsidR="00B17C48" w:rsidRDefault="009A5B47">
      <w:pPr>
        <w:spacing w:before="122" w:line="225" w:lineRule="exact"/>
        <w:textAlignment w:val="baseline"/>
        <w:rPr>
          <w:rFonts w:ascii="Verdana" w:eastAsia="Verdana" w:hAnsi="Verdana"/>
          <w:color w:val="000000"/>
          <w:spacing w:val="-6"/>
          <w:sz w:val="12"/>
          <w:vertAlign w:val="superscript"/>
        </w:rPr>
      </w:pPr>
      <w:r>
        <w:pict>
          <v:line id="_x0000_s1032" style="position:absolute;z-index:251654144;mso-position-horizontal-relative:page;mso-position-vertical-relative:page" from="56.9pt,752.15pt" to="201.15pt,752.15pt" strokecolor="#221f20" strokeweight=".95pt">
            <w10:wrap anchorx="page" anchory="page"/>
          </v:line>
        </w:pict>
      </w:r>
      <w:r w:rsidR="00ED35B9">
        <w:rPr>
          <w:rFonts w:ascii="Verdana" w:eastAsia="Verdana" w:hAnsi="Verdana"/>
          <w:color w:val="000000"/>
          <w:spacing w:val="-6"/>
          <w:sz w:val="12"/>
          <w:vertAlign w:val="superscript"/>
        </w:rPr>
        <w:t>1</w:t>
      </w:r>
      <w:r w:rsidR="00ED35B9">
        <w:rPr>
          <w:rFonts w:ascii="Verdana" w:eastAsia="Verdana" w:hAnsi="Verdana"/>
          <w:color w:val="000000"/>
          <w:spacing w:val="-6"/>
          <w:sz w:val="17"/>
        </w:rPr>
        <w:t xml:space="preserve"> Carlisle City Council Housing Strategy</w:t>
      </w:r>
    </w:p>
    <w:p w:rsidR="00B17C48" w:rsidRDefault="00B17C48">
      <w:pPr>
        <w:sectPr w:rsidR="00B17C48">
          <w:pgSz w:w="11904" w:h="16843"/>
          <w:pgMar w:top="860" w:right="1406" w:bottom="826" w:left="1138" w:header="720" w:footer="720" w:gutter="0"/>
          <w:cols w:space="720"/>
        </w:sectPr>
      </w:pPr>
    </w:p>
    <w:p w:rsidR="00B17C48" w:rsidRDefault="009A5B47">
      <w:pPr>
        <w:spacing w:before="1" w:line="316" w:lineRule="exact"/>
        <w:ind w:right="576"/>
        <w:textAlignment w:val="baseline"/>
        <w:rPr>
          <w:rFonts w:ascii="Arial" w:eastAsia="Arial" w:hAnsi="Arial"/>
          <w:color w:val="000000"/>
          <w:sz w:val="24"/>
        </w:rPr>
      </w:pPr>
      <w:r>
        <w:lastRenderedPageBreak/>
        <w:pict>
          <v:shape id="_x0000_s1031" type="#_x0000_t202" style="position:absolute;margin-left:514.4pt;margin-top:779.6pt;width:14.45pt;height:12.8pt;z-index:-251660288;mso-wrap-distance-left:0;mso-wrap-distance-right:0;mso-position-horizontal-relative:page;mso-position-vertical-relative:page" filled="f" stroked="f">
            <v:textbox inset="0,0,0,0">
              <w:txbxContent>
                <w:p w:rsidR="00B17C48" w:rsidRDefault="00ED35B9">
                  <w:pPr>
                    <w:spacing w:before="13" w:line="235" w:lineRule="exact"/>
                    <w:textAlignment w:val="baseline"/>
                    <w:rPr>
                      <w:rFonts w:ascii="Calibri" w:eastAsia="Calibri" w:hAnsi="Calibri"/>
                      <w:b/>
                      <w:color w:val="000000"/>
                      <w:sz w:val="21"/>
                    </w:rPr>
                  </w:pPr>
                  <w:r>
                    <w:rPr>
                      <w:rFonts w:ascii="Calibri" w:eastAsia="Calibri" w:hAnsi="Calibri"/>
                      <w:b/>
                      <w:color w:val="000000"/>
                      <w:sz w:val="21"/>
                    </w:rPr>
                    <w:t>2</w:t>
                  </w:r>
                </w:p>
              </w:txbxContent>
            </v:textbox>
            <w10:wrap type="square" anchorx="page" anchory="page"/>
          </v:shape>
        </w:pict>
      </w:r>
      <w:r w:rsidR="00ED35B9">
        <w:rPr>
          <w:rFonts w:ascii="Arial" w:eastAsia="Arial" w:hAnsi="Arial"/>
          <w:color w:val="000000"/>
          <w:sz w:val="24"/>
        </w:rPr>
        <w:t>sector, which consistently has the worst levels of Standard Assessment Procedure (SAP) ratings, with the most inefficient heating systems.</w:t>
      </w:r>
    </w:p>
    <w:p w:rsidR="00B17C48" w:rsidRDefault="00ED35B9">
      <w:pPr>
        <w:spacing w:before="205" w:line="316" w:lineRule="exact"/>
        <w:textAlignment w:val="baseline"/>
        <w:rPr>
          <w:rFonts w:ascii="Arial" w:eastAsia="Arial" w:hAnsi="Arial"/>
          <w:b/>
          <w:color w:val="3B3938"/>
          <w:sz w:val="24"/>
        </w:rPr>
      </w:pPr>
      <w:r>
        <w:rPr>
          <w:rFonts w:ascii="Arial" w:eastAsia="Arial" w:hAnsi="Arial"/>
          <w:b/>
          <w:color w:val="3B3938"/>
          <w:sz w:val="24"/>
        </w:rPr>
        <w:t xml:space="preserve">The Energy Efficiency (Private Rented Property) (England and Wales) Regulations 2015 </w:t>
      </w:r>
      <w:r>
        <w:rPr>
          <w:rFonts w:ascii="Arial" w:eastAsia="Arial" w:hAnsi="Arial"/>
          <w:color w:val="3B3938"/>
          <w:sz w:val="24"/>
        </w:rPr>
        <w:t>place obligations on private landlords</w:t>
      </w:r>
    </w:p>
    <w:p w:rsidR="00B17C48" w:rsidRDefault="00ED35B9">
      <w:pPr>
        <w:numPr>
          <w:ilvl w:val="0"/>
          <w:numId w:val="7"/>
        </w:numPr>
        <w:tabs>
          <w:tab w:val="clear" w:pos="360"/>
          <w:tab w:val="left" w:pos="720"/>
        </w:tabs>
        <w:spacing w:before="233" w:line="324" w:lineRule="exact"/>
        <w:ind w:hanging="360"/>
        <w:textAlignment w:val="baseline"/>
        <w:rPr>
          <w:rFonts w:ascii="Arial" w:eastAsia="Arial" w:hAnsi="Arial"/>
          <w:b/>
          <w:i/>
          <w:color w:val="3B3938"/>
          <w:sz w:val="24"/>
        </w:rPr>
      </w:pPr>
      <w:r>
        <w:rPr>
          <w:rFonts w:ascii="Arial" w:eastAsia="Arial" w:hAnsi="Arial"/>
          <w:b/>
          <w:i/>
          <w:color w:val="3B3938"/>
          <w:sz w:val="24"/>
        </w:rPr>
        <w:t>From 1st April 2018</w:t>
      </w:r>
      <w:r>
        <w:rPr>
          <w:rFonts w:ascii="Arial" w:eastAsia="Arial" w:hAnsi="Arial"/>
          <w:i/>
          <w:color w:val="3B3938"/>
          <w:sz w:val="24"/>
        </w:rPr>
        <w:t>, a landlord of a private rented property with an EPC rating of F or G must not grant a new lease or renew an existing lease of that property until works have been carried out to improve the energy efficiency to a rating of E or above.</w:t>
      </w:r>
    </w:p>
    <w:p w:rsidR="00B17C48" w:rsidRDefault="00ED35B9">
      <w:pPr>
        <w:numPr>
          <w:ilvl w:val="0"/>
          <w:numId w:val="7"/>
        </w:numPr>
        <w:tabs>
          <w:tab w:val="clear" w:pos="360"/>
          <w:tab w:val="left" w:pos="720"/>
        </w:tabs>
        <w:spacing w:line="323" w:lineRule="exact"/>
        <w:ind w:right="144" w:hanging="360"/>
        <w:textAlignment w:val="baseline"/>
        <w:rPr>
          <w:rFonts w:ascii="Arial" w:eastAsia="Arial" w:hAnsi="Arial"/>
          <w:b/>
          <w:i/>
          <w:color w:val="3B3938"/>
          <w:sz w:val="24"/>
        </w:rPr>
      </w:pPr>
      <w:r>
        <w:rPr>
          <w:rFonts w:ascii="Arial" w:eastAsia="Arial" w:hAnsi="Arial"/>
          <w:b/>
          <w:i/>
          <w:color w:val="3B3938"/>
          <w:sz w:val="24"/>
        </w:rPr>
        <w:t>From 1</w:t>
      </w:r>
      <w:r>
        <w:rPr>
          <w:rFonts w:ascii="Arial" w:eastAsia="Arial" w:hAnsi="Arial"/>
          <w:b/>
          <w:i/>
          <w:color w:val="3B3938"/>
          <w:sz w:val="24"/>
          <w:vertAlign w:val="superscript"/>
        </w:rPr>
        <w:t>st</w:t>
      </w:r>
      <w:r>
        <w:rPr>
          <w:rFonts w:ascii="Arial" w:eastAsia="Arial" w:hAnsi="Arial"/>
          <w:b/>
          <w:i/>
          <w:color w:val="3B3938"/>
          <w:sz w:val="24"/>
        </w:rPr>
        <w:t xml:space="preserve"> April 2020</w:t>
      </w:r>
      <w:r>
        <w:rPr>
          <w:rFonts w:ascii="Arial" w:eastAsia="Arial" w:hAnsi="Arial"/>
          <w:i/>
          <w:color w:val="3B3938"/>
          <w:sz w:val="24"/>
        </w:rPr>
        <w:t xml:space="preserve">, a landlord of a </w:t>
      </w:r>
      <w:r>
        <w:rPr>
          <w:rFonts w:ascii="Arial" w:eastAsia="Arial" w:hAnsi="Arial"/>
          <w:b/>
          <w:i/>
          <w:color w:val="3B3938"/>
          <w:sz w:val="24"/>
        </w:rPr>
        <w:t xml:space="preserve">domestic </w:t>
      </w:r>
      <w:r>
        <w:rPr>
          <w:rFonts w:ascii="Arial" w:eastAsia="Arial" w:hAnsi="Arial"/>
          <w:i/>
          <w:color w:val="3B3938"/>
          <w:sz w:val="24"/>
        </w:rPr>
        <w:t>private rented property with an EPC rating of F or G must not continue to let the property until works have been carried out to improve the energy efficiency rating to an E or above.</w:t>
      </w:r>
    </w:p>
    <w:p w:rsidR="00B17C48" w:rsidRDefault="00ED35B9">
      <w:pPr>
        <w:spacing w:before="289" w:line="316" w:lineRule="exact"/>
        <w:ind w:right="216"/>
        <w:textAlignment w:val="baseline"/>
        <w:rPr>
          <w:rFonts w:ascii="Arial" w:eastAsia="Arial" w:hAnsi="Arial"/>
          <w:color w:val="000000"/>
          <w:sz w:val="24"/>
        </w:rPr>
      </w:pPr>
      <w:r>
        <w:rPr>
          <w:rFonts w:ascii="Arial" w:eastAsia="Arial" w:hAnsi="Arial"/>
          <w:color w:val="000000"/>
          <w:sz w:val="24"/>
        </w:rPr>
        <w:t>Using a combination of enforcement and encouragement will help drive the delivery of these improvements to the housing stock.</w:t>
      </w:r>
    </w:p>
    <w:p w:rsidR="00B17C48" w:rsidRDefault="00ED35B9">
      <w:pPr>
        <w:spacing w:before="207" w:line="316" w:lineRule="exact"/>
        <w:ind w:right="216"/>
        <w:textAlignment w:val="baseline"/>
        <w:rPr>
          <w:rFonts w:ascii="Arial" w:eastAsia="Arial" w:hAnsi="Arial"/>
          <w:color w:val="000000"/>
          <w:sz w:val="24"/>
        </w:rPr>
      </w:pPr>
      <w:r>
        <w:rPr>
          <w:rFonts w:ascii="Arial" w:eastAsia="Arial" w:hAnsi="Arial"/>
          <w:color w:val="000000"/>
          <w:sz w:val="24"/>
        </w:rPr>
        <w:t>The City Council currently has discretionary housing grants that it is able to offer through its Home Improvement Agency – Homelife Carlisle. The eligibility criteria will therefore aim to prioritise homes that have the poorest housing efficiency that may not qualify under the current Discretionary Housing Grants scheme. It will also aim to support current local initiatives to ensure that the widest amount of households benefit from the scheme.</w:t>
      </w:r>
    </w:p>
    <w:p w:rsidR="00B17C48" w:rsidRDefault="00ED35B9">
      <w:pPr>
        <w:spacing w:before="205" w:line="316" w:lineRule="exact"/>
        <w:ind w:right="216"/>
        <w:textAlignment w:val="baseline"/>
        <w:rPr>
          <w:rFonts w:ascii="Arial" w:eastAsia="Arial" w:hAnsi="Arial"/>
          <w:color w:val="000000"/>
          <w:sz w:val="24"/>
        </w:rPr>
      </w:pPr>
      <w:r>
        <w:rPr>
          <w:rFonts w:ascii="Arial" w:eastAsia="Arial" w:hAnsi="Arial"/>
          <w:color w:val="000000"/>
          <w:sz w:val="24"/>
        </w:rPr>
        <w:t>Referrals made under ECO flexibility will be subject to the same market conditions as wider ECO energy efficiency work and so declarations that the local authority make do not guarantee that the measure will be viable. The final decision on whether a household receives an ECO measure is made by the energy suppliers or their contractors as the final decision will depend on:</w:t>
      </w:r>
    </w:p>
    <w:p w:rsidR="00B17C48" w:rsidRDefault="00ED35B9">
      <w:pPr>
        <w:numPr>
          <w:ilvl w:val="0"/>
          <w:numId w:val="8"/>
        </w:numPr>
        <w:tabs>
          <w:tab w:val="clear" w:pos="864"/>
          <w:tab w:val="left" w:pos="1440"/>
        </w:tabs>
        <w:spacing w:before="246" w:line="273" w:lineRule="exact"/>
        <w:ind w:left="1440" w:right="720" w:hanging="864"/>
        <w:textAlignment w:val="baseline"/>
        <w:rPr>
          <w:rFonts w:ascii="Arial" w:eastAsia="Arial" w:hAnsi="Arial"/>
          <w:color w:val="000000"/>
          <w:sz w:val="24"/>
        </w:rPr>
      </w:pPr>
      <w:r>
        <w:rPr>
          <w:rFonts w:ascii="Arial" w:eastAsia="Arial" w:hAnsi="Arial"/>
          <w:color w:val="000000"/>
          <w:sz w:val="24"/>
        </w:rPr>
        <w:t>the survey carried out by suppliers/contractors and installation costs calculated,</w:t>
      </w:r>
    </w:p>
    <w:p w:rsidR="00B17C48" w:rsidRDefault="00ED35B9">
      <w:pPr>
        <w:numPr>
          <w:ilvl w:val="0"/>
          <w:numId w:val="8"/>
        </w:numPr>
        <w:tabs>
          <w:tab w:val="clear" w:pos="864"/>
          <w:tab w:val="left" w:pos="1440"/>
        </w:tabs>
        <w:spacing w:before="1" w:line="275" w:lineRule="exact"/>
        <w:ind w:left="1440" w:hanging="864"/>
        <w:textAlignment w:val="baseline"/>
        <w:rPr>
          <w:rFonts w:ascii="Arial" w:eastAsia="Arial" w:hAnsi="Arial"/>
          <w:color w:val="000000"/>
          <w:sz w:val="24"/>
        </w:rPr>
      </w:pPr>
      <w:r>
        <w:rPr>
          <w:rFonts w:ascii="Arial" w:eastAsia="Arial" w:hAnsi="Arial"/>
          <w:color w:val="000000"/>
          <w:sz w:val="24"/>
        </w:rPr>
        <w:t>the energy savings that can be achieved for a property and</w:t>
      </w:r>
    </w:p>
    <w:p w:rsidR="00B17C48" w:rsidRDefault="00ED35B9">
      <w:pPr>
        <w:numPr>
          <w:ilvl w:val="0"/>
          <w:numId w:val="8"/>
        </w:numPr>
        <w:tabs>
          <w:tab w:val="clear" w:pos="864"/>
          <w:tab w:val="left" w:pos="1440"/>
        </w:tabs>
        <w:spacing w:line="277" w:lineRule="exact"/>
        <w:ind w:left="1440" w:right="72" w:hanging="864"/>
        <w:textAlignment w:val="baseline"/>
        <w:rPr>
          <w:rFonts w:ascii="Arial" w:eastAsia="Arial" w:hAnsi="Arial"/>
          <w:color w:val="000000"/>
          <w:sz w:val="24"/>
        </w:rPr>
      </w:pPr>
      <w:r>
        <w:rPr>
          <w:rFonts w:ascii="Arial" w:eastAsia="Arial" w:hAnsi="Arial"/>
          <w:color w:val="000000"/>
          <w:sz w:val="24"/>
        </w:rPr>
        <w:t>whether suppliers have achieved their targets or require further measures to meet their ECO targets.</w:t>
      </w:r>
    </w:p>
    <w:p w:rsidR="00B17C48" w:rsidRDefault="00ED35B9">
      <w:pPr>
        <w:spacing w:before="274" w:line="280" w:lineRule="exact"/>
        <w:ind w:left="360"/>
        <w:textAlignment w:val="baseline"/>
        <w:rPr>
          <w:rFonts w:ascii="Arial" w:eastAsia="Arial" w:hAnsi="Arial"/>
          <w:b/>
          <w:color w:val="000000"/>
          <w:spacing w:val="1"/>
          <w:sz w:val="24"/>
        </w:rPr>
      </w:pPr>
      <w:r>
        <w:rPr>
          <w:rFonts w:ascii="Arial" w:eastAsia="Arial" w:hAnsi="Arial"/>
          <w:b/>
          <w:color w:val="000000"/>
          <w:spacing w:val="1"/>
          <w:sz w:val="24"/>
        </w:rPr>
        <w:t>1. How the Local authority intends to identify eligible households</w:t>
      </w:r>
    </w:p>
    <w:p w:rsidR="00B17C48" w:rsidRDefault="00ED35B9">
      <w:pPr>
        <w:spacing w:before="196" w:line="316" w:lineRule="exact"/>
        <w:ind w:right="72"/>
        <w:textAlignment w:val="baseline"/>
        <w:rPr>
          <w:rFonts w:ascii="Arial" w:eastAsia="Arial" w:hAnsi="Arial"/>
          <w:color w:val="000000"/>
          <w:spacing w:val="-1"/>
          <w:sz w:val="24"/>
        </w:rPr>
      </w:pPr>
      <w:r>
        <w:rPr>
          <w:rFonts w:ascii="Arial" w:eastAsia="Arial" w:hAnsi="Arial"/>
          <w:color w:val="000000"/>
          <w:spacing w:val="-1"/>
          <w:sz w:val="24"/>
        </w:rPr>
        <w:t>ECO flexible eligibility is available to private sector households including owner occupiers, private landlords and private tenants in line with the Government’s guidance.</w:t>
      </w:r>
    </w:p>
    <w:p w:rsidR="00B17C48" w:rsidRDefault="00ED35B9">
      <w:pPr>
        <w:spacing w:before="7" w:line="316" w:lineRule="exact"/>
        <w:ind w:right="216"/>
        <w:textAlignment w:val="baseline"/>
        <w:rPr>
          <w:rFonts w:ascii="Arial" w:eastAsia="Arial" w:hAnsi="Arial"/>
          <w:color w:val="000000"/>
          <w:sz w:val="24"/>
        </w:rPr>
      </w:pPr>
      <w:r>
        <w:rPr>
          <w:rFonts w:ascii="Arial" w:eastAsia="Arial" w:hAnsi="Arial"/>
          <w:color w:val="000000"/>
          <w:sz w:val="24"/>
        </w:rPr>
        <w:t>All potentially eligible households should apply through Homelife Carlisle Home Improvement Agency to ensure that any households that do not meet ECO flex criteria can be assessed for eligibility under the Discretionary Housing Grant scheme.</w:t>
      </w:r>
    </w:p>
    <w:p w:rsidR="00B17C48" w:rsidRDefault="00ED35B9">
      <w:pPr>
        <w:spacing w:before="205" w:line="316" w:lineRule="exact"/>
        <w:ind w:right="72"/>
        <w:textAlignment w:val="baseline"/>
        <w:rPr>
          <w:rFonts w:ascii="Arial" w:eastAsia="Arial" w:hAnsi="Arial"/>
          <w:color w:val="000000"/>
          <w:sz w:val="24"/>
        </w:rPr>
      </w:pPr>
      <w:r>
        <w:rPr>
          <w:rFonts w:ascii="Arial" w:eastAsia="Arial" w:hAnsi="Arial"/>
          <w:color w:val="000000"/>
          <w:sz w:val="24"/>
        </w:rPr>
        <w:t>Homelife Carlisle will check their eligibility for standard ECO scheme, ECO flex criteria and eligibility for Discretionary Housing Grants. Sometimes a contribution is required by the customer towards the ECO measure and this may be met via a local grant for example.</w:t>
      </w:r>
    </w:p>
    <w:p w:rsidR="00B17C48" w:rsidRDefault="00B17C48">
      <w:pPr>
        <w:sectPr w:rsidR="00B17C48">
          <w:pgSz w:w="11904" w:h="16843"/>
          <w:pgMar w:top="880" w:right="1418" w:bottom="855" w:left="1126" w:header="720" w:footer="720" w:gutter="0"/>
          <w:cols w:space="720"/>
        </w:sectPr>
      </w:pPr>
    </w:p>
    <w:p w:rsidR="00B17C48" w:rsidRDefault="009A5B47">
      <w:pPr>
        <w:spacing w:line="405" w:lineRule="exact"/>
        <w:ind w:left="432" w:right="3456"/>
        <w:textAlignment w:val="baseline"/>
        <w:rPr>
          <w:rFonts w:ascii="Arial" w:eastAsia="Arial" w:hAnsi="Arial"/>
          <w:b/>
          <w:color w:val="000000"/>
          <w:sz w:val="24"/>
        </w:rPr>
      </w:pPr>
      <w:r>
        <w:lastRenderedPageBreak/>
        <w:pict>
          <v:shape id="_x0000_s1030" type="#_x0000_t202" style="position:absolute;left:0;text-align:left;margin-left:514.4pt;margin-top:779.6pt;width:14.45pt;height:12.8pt;z-index:-251659264;mso-wrap-distance-left:0;mso-wrap-distance-right:0;mso-position-horizontal-relative:page;mso-position-vertical-relative:page" filled="f" stroked="f">
            <v:textbox inset="0,0,0,0">
              <w:txbxContent>
                <w:p w:rsidR="00B17C48" w:rsidRDefault="00ED35B9">
                  <w:pPr>
                    <w:spacing w:before="13" w:line="235" w:lineRule="exact"/>
                    <w:textAlignment w:val="baseline"/>
                    <w:rPr>
                      <w:rFonts w:ascii="Calibri" w:eastAsia="Calibri" w:hAnsi="Calibri"/>
                      <w:b/>
                      <w:color w:val="000000"/>
                      <w:sz w:val="21"/>
                    </w:rPr>
                  </w:pPr>
                  <w:r>
                    <w:rPr>
                      <w:rFonts w:ascii="Calibri" w:eastAsia="Calibri" w:hAnsi="Calibri"/>
                      <w:b/>
                      <w:color w:val="000000"/>
                      <w:sz w:val="21"/>
                    </w:rPr>
                    <w:t>3</w:t>
                  </w:r>
                </w:p>
              </w:txbxContent>
            </v:textbox>
            <w10:wrap type="square" anchorx="page" anchory="page"/>
          </v:shape>
        </w:pict>
      </w:r>
      <w:r w:rsidR="00ED35B9">
        <w:rPr>
          <w:rFonts w:ascii="Arial" w:eastAsia="Arial" w:hAnsi="Arial"/>
          <w:b/>
          <w:color w:val="000000"/>
          <w:sz w:val="24"/>
        </w:rPr>
        <w:t>Criteria for identifying households in fuel poverty a) Low Income AND property inefficiency</w:t>
      </w:r>
    </w:p>
    <w:p w:rsidR="00B17C48" w:rsidRDefault="00ED35B9">
      <w:pPr>
        <w:spacing w:before="204" w:line="316" w:lineRule="exact"/>
        <w:ind w:left="144" w:right="216"/>
        <w:textAlignment w:val="baseline"/>
        <w:rPr>
          <w:rFonts w:ascii="Arial" w:eastAsia="Arial" w:hAnsi="Arial"/>
          <w:color w:val="000000"/>
          <w:spacing w:val="-2"/>
          <w:sz w:val="24"/>
        </w:rPr>
      </w:pPr>
      <w:r>
        <w:rPr>
          <w:rFonts w:ascii="Arial" w:eastAsia="Arial" w:hAnsi="Arial"/>
          <w:color w:val="000000"/>
          <w:spacing w:val="-2"/>
          <w:sz w:val="24"/>
        </w:rPr>
        <w:t xml:space="preserve">Households should meet the income threshold </w:t>
      </w:r>
      <w:r>
        <w:rPr>
          <w:rFonts w:ascii="Arial" w:eastAsia="Arial" w:hAnsi="Arial"/>
          <w:b/>
          <w:color w:val="000000"/>
          <w:spacing w:val="-2"/>
          <w:sz w:val="24"/>
        </w:rPr>
        <w:t xml:space="preserve">AND </w:t>
      </w:r>
      <w:r>
        <w:rPr>
          <w:rFonts w:ascii="Arial" w:eastAsia="Arial" w:hAnsi="Arial"/>
          <w:color w:val="000000"/>
          <w:spacing w:val="-2"/>
          <w:sz w:val="24"/>
        </w:rPr>
        <w:t xml:space="preserve">meet the property inefficiency criteria by having an EPC of E, F or G or the guidance criteria by having a score of 5 or more to qualify </w:t>
      </w:r>
      <w:r>
        <w:rPr>
          <w:rFonts w:ascii="Arial" w:eastAsia="Arial" w:hAnsi="Arial"/>
          <w:b/>
          <w:color w:val="000000"/>
          <w:spacing w:val="-2"/>
          <w:sz w:val="24"/>
        </w:rPr>
        <w:t xml:space="preserve">OR </w:t>
      </w:r>
      <w:r>
        <w:rPr>
          <w:rFonts w:ascii="Arial" w:eastAsia="Arial" w:hAnsi="Arial"/>
          <w:color w:val="000000"/>
          <w:spacing w:val="-2"/>
          <w:sz w:val="24"/>
        </w:rPr>
        <w:t>meet the income threshold and meet the off-mains gas area criteria.</w:t>
      </w:r>
    </w:p>
    <w:p w:rsidR="00B17C48" w:rsidRDefault="00ED35B9">
      <w:pPr>
        <w:spacing w:before="197" w:line="317" w:lineRule="exact"/>
        <w:ind w:left="144" w:right="648"/>
        <w:textAlignment w:val="baseline"/>
        <w:rPr>
          <w:rFonts w:ascii="Arial" w:eastAsia="Arial" w:hAnsi="Arial"/>
          <w:color w:val="000000"/>
          <w:sz w:val="24"/>
        </w:rPr>
      </w:pPr>
      <w:r>
        <w:rPr>
          <w:rFonts w:ascii="Arial" w:eastAsia="Arial" w:hAnsi="Arial"/>
          <w:color w:val="000000"/>
          <w:sz w:val="24"/>
        </w:rPr>
        <w:t>Carlisle City Council will target those most in need having regard to Department for Business, Energy and Industrial Strategy (BEIS) guidance</w:t>
      </w:r>
    </w:p>
    <w:p w:rsidR="00B17C48" w:rsidRDefault="00ED35B9">
      <w:pPr>
        <w:spacing w:before="204" w:after="224" w:line="316" w:lineRule="exact"/>
        <w:ind w:left="144" w:right="648"/>
        <w:textAlignment w:val="baseline"/>
        <w:rPr>
          <w:rFonts w:ascii="Arial" w:eastAsia="Arial" w:hAnsi="Arial"/>
          <w:color w:val="000000"/>
          <w:sz w:val="24"/>
        </w:rPr>
      </w:pPr>
      <w:r>
        <w:rPr>
          <w:rFonts w:ascii="Arial" w:eastAsia="Arial" w:hAnsi="Arial"/>
          <w:color w:val="000000"/>
          <w:sz w:val="24"/>
        </w:rPr>
        <w:t xml:space="preserve">Those living in private sector housing and on a gross annual income of less than the tables below based on income thresholds for Universal Credit and Tax Credits and household composition. These income thresholds will be applied </w:t>
      </w:r>
      <w:r>
        <w:rPr>
          <w:rFonts w:ascii="Arial" w:eastAsia="Arial" w:hAnsi="Arial"/>
          <w:b/>
          <w:color w:val="000000"/>
          <w:sz w:val="24"/>
        </w:rPr>
        <w:t xml:space="preserve">after </w:t>
      </w:r>
      <w:r>
        <w:rPr>
          <w:rFonts w:ascii="Arial" w:eastAsia="Arial" w:hAnsi="Arial"/>
          <w:color w:val="000000"/>
          <w:sz w:val="24"/>
        </w:rPr>
        <w:t>deducting payments for their rent or mortgage:</w:t>
      </w:r>
    </w:p>
    <w:tbl>
      <w:tblPr>
        <w:tblW w:w="0" w:type="auto"/>
        <w:tblInd w:w="14" w:type="dxa"/>
        <w:tblLayout w:type="fixed"/>
        <w:tblCellMar>
          <w:left w:w="0" w:type="dxa"/>
          <w:right w:w="0" w:type="dxa"/>
        </w:tblCellMar>
        <w:tblLook w:val="0000" w:firstRow="0" w:lastRow="0" w:firstColumn="0" w:lastColumn="0" w:noHBand="0" w:noVBand="0"/>
      </w:tblPr>
      <w:tblGrid>
        <w:gridCol w:w="1603"/>
        <w:gridCol w:w="1594"/>
        <w:gridCol w:w="1593"/>
        <w:gridCol w:w="1594"/>
        <w:gridCol w:w="1594"/>
        <w:gridCol w:w="1598"/>
      </w:tblGrid>
      <w:tr w:rsidR="00B17C48">
        <w:trPr>
          <w:trHeight w:hRule="exact" w:val="840"/>
        </w:trPr>
        <w:tc>
          <w:tcPr>
            <w:tcW w:w="1603" w:type="dxa"/>
            <w:tcBorders>
              <w:top w:val="single" w:sz="5" w:space="0" w:color="000000"/>
              <w:left w:val="single" w:sz="5" w:space="0" w:color="000000"/>
              <w:bottom w:val="single" w:sz="5" w:space="0" w:color="000000"/>
              <w:right w:val="single" w:sz="5" w:space="0" w:color="000000"/>
            </w:tcBorders>
          </w:tcPr>
          <w:p w:rsidR="00B17C48" w:rsidRDefault="00ED35B9">
            <w:pPr>
              <w:spacing w:line="274" w:lineRule="exact"/>
              <w:ind w:left="108" w:right="432"/>
              <w:textAlignment w:val="baseline"/>
              <w:rPr>
                <w:rFonts w:ascii="Arial" w:eastAsia="Arial" w:hAnsi="Arial"/>
                <w:b/>
                <w:color w:val="000000"/>
                <w:spacing w:val="-1"/>
                <w:sz w:val="24"/>
              </w:rPr>
            </w:pPr>
            <w:r>
              <w:rPr>
                <w:rFonts w:ascii="Arial" w:eastAsia="Arial" w:hAnsi="Arial"/>
                <w:b/>
                <w:color w:val="000000"/>
                <w:spacing w:val="-1"/>
                <w:sz w:val="24"/>
              </w:rPr>
              <w:t>Low Income Eligibility</w:t>
            </w:r>
          </w:p>
        </w:tc>
        <w:tc>
          <w:tcPr>
            <w:tcW w:w="1594" w:type="dxa"/>
            <w:tcBorders>
              <w:top w:val="single" w:sz="5" w:space="0" w:color="000000"/>
              <w:left w:val="single" w:sz="5" w:space="0" w:color="000000"/>
              <w:bottom w:val="single" w:sz="5" w:space="0" w:color="000000"/>
              <w:right w:val="single" w:sz="5" w:space="0" w:color="000000"/>
            </w:tcBorders>
          </w:tcPr>
          <w:p w:rsidR="00B17C48" w:rsidRDefault="00ED35B9">
            <w:pPr>
              <w:spacing w:after="545" w:line="279" w:lineRule="exact"/>
              <w:ind w:left="111"/>
              <w:textAlignment w:val="baseline"/>
              <w:rPr>
                <w:rFonts w:ascii="Arial" w:eastAsia="Arial" w:hAnsi="Arial"/>
                <w:b/>
                <w:color w:val="000000"/>
                <w:sz w:val="24"/>
              </w:rPr>
            </w:pPr>
            <w:r>
              <w:rPr>
                <w:rFonts w:ascii="Arial" w:eastAsia="Arial" w:hAnsi="Arial"/>
                <w:b/>
                <w:color w:val="000000"/>
                <w:sz w:val="24"/>
              </w:rPr>
              <w:t>0 children</w:t>
            </w:r>
          </w:p>
        </w:tc>
        <w:tc>
          <w:tcPr>
            <w:tcW w:w="1593" w:type="dxa"/>
            <w:tcBorders>
              <w:top w:val="single" w:sz="5" w:space="0" w:color="000000"/>
              <w:left w:val="single" w:sz="5" w:space="0" w:color="000000"/>
              <w:bottom w:val="single" w:sz="5" w:space="0" w:color="000000"/>
              <w:right w:val="single" w:sz="5" w:space="0" w:color="000000"/>
            </w:tcBorders>
          </w:tcPr>
          <w:p w:rsidR="00B17C48" w:rsidRDefault="00ED35B9">
            <w:pPr>
              <w:spacing w:after="545" w:line="279" w:lineRule="exact"/>
              <w:ind w:right="623"/>
              <w:jc w:val="right"/>
              <w:textAlignment w:val="baseline"/>
              <w:rPr>
                <w:rFonts w:ascii="Arial" w:eastAsia="Arial" w:hAnsi="Arial"/>
                <w:b/>
                <w:color w:val="000000"/>
                <w:sz w:val="24"/>
              </w:rPr>
            </w:pPr>
            <w:r>
              <w:rPr>
                <w:rFonts w:ascii="Arial" w:eastAsia="Arial" w:hAnsi="Arial"/>
                <w:b/>
                <w:color w:val="000000"/>
                <w:sz w:val="24"/>
              </w:rPr>
              <w:t>1 Child</w:t>
            </w:r>
          </w:p>
        </w:tc>
        <w:tc>
          <w:tcPr>
            <w:tcW w:w="1594" w:type="dxa"/>
            <w:tcBorders>
              <w:top w:val="single" w:sz="5" w:space="0" w:color="000000"/>
              <w:left w:val="single" w:sz="5" w:space="0" w:color="000000"/>
              <w:bottom w:val="single" w:sz="5" w:space="0" w:color="000000"/>
              <w:right w:val="single" w:sz="5" w:space="0" w:color="000000"/>
            </w:tcBorders>
          </w:tcPr>
          <w:p w:rsidR="00B17C48" w:rsidRDefault="00ED35B9">
            <w:pPr>
              <w:spacing w:after="545" w:line="279" w:lineRule="exact"/>
              <w:ind w:left="111"/>
              <w:textAlignment w:val="baseline"/>
              <w:rPr>
                <w:rFonts w:ascii="Arial" w:eastAsia="Arial" w:hAnsi="Arial"/>
                <w:b/>
                <w:color w:val="000000"/>
                <w:sz w:val="24"/>
              </w:rPr>
            </w:pPr>
            <w:r>
              <w:rPr>
                <w:rFonts w:ascii="Arial" w:eastAsia="Arial" w:hAnsi="Arial"/>
                <w:b/>
                <w:color w:val="000000"/>
                <w:sz w:val="24"/>
              </w:rPr>
              <w:t>2 Children</w:t>
            </w:r>
          </w:p>
        </w:tc>
        <w:tc>
          <w:tcPr>
            <w:tcW w:w="1594" w:type="dxa"/>
            <w:tcBorders>
              <w:top w:val="single" w:sz="5" w:space="0" w:color="000000"/>
              <w:left w:val="single" w:sz="5" w:space="0" w:color="000000"/>
              <w:bottom w:val="single" w:sz="5" w:space="0" w:color="000000"/>
              <w:right w:val="single" w:sz="5" w:space="0" w:color="000000"/>
            </w:tcBorders>
          </w:tcPr>
          <w:p w:rsidR="00B17C48" w:rsidRDefault="00ED35B9">
            <w:pPr>
              <w:spacing w:after="545" w:line="279" w:lineRule="exact"/>
              <w:ind w:left="111"/>
              <w:textAlignment w:val="baseline"/>
              <w:rPr>
                <w:rFonts w:ascii="Arial" w:eastAsia="Arial" w:hAnsi="Arial"/>
                <w:b/>
                <w:color w:val="000000"/>
                <w:sz w:val="24"/>
              </w:rPr>
            </w:pPr>
            <w:r>
              <w:rPr>
                <w:rFonts w:ascii="Arial" w:eastAsia="Arial" w:hAnsi="Arial"/>
                <w:b/>
                <w:color w:val="000000"/>
                <w:sz w:val="24"/>
              </w:rPr>
              <w:t>3 children</w:t>
            </w:r>
          </w:p>
        </w:tc>
        <w:tc>
          <w:tcPr>
            <w:tcW w:w="1598" w:type="dxa"/>
            <w:tcBorders>
              <w:top w:val="single" w:sz="5" w:space="0" w:color="000000"/>
              <w:left w:val="single" w:sz="5" w:space="0" w:color="000000"/>
              <w:bottom w:val="single" w:sz="5" w:space="0" w:color="000000"/>
              <w:right w:val="single" w:sz="5" w:space="0" w:color="000000"/>
            </w:tcBorders>
          </w:tcPr>
          <w:p w:rsidR="00B17C48" w:rsidRDefault="00ED35B9">
            <w:pPr>
              <w:spacing w:after="545" w:line="279" w:lineRule="exact"/>
              <w:ind w:left="110"/>
              <w:textAlignment w:val="baseline"/>
              <w:rPr>
                <w:rFonts w:ascii="Arial" w:eastAsia="Arial" w:hAnsi="Arial"/>
                <w:b/>
                <w:color w:val="000000"/>
                <w:sz w:val="24"/>
              </w:rPr>
            </w:pPr>
            <w:r>
              <w:rPr>
                <w:rFonts w:ascii="Arial" w:eastAsia="Arial" w:hAnsi="Arial"/>
                <w:b/>
                <w:color w:val="000000"/>
                <w:sz w:val="24"/>
              </w:rPr>
              <w:t>4+ children</w:t>
            </w:r>
          </w:p>
        </w:tc>
      </w:tr>
      <w:tr w:rsidR="00B17C48">
        <w:trPr>
          <w:trHeight w:hRule="exact" w:val="288"/>
        </w:trPr>
        <w:tc>
          <w:tcPr>
            <w:tcW w:w="1603" w:type="dxa"/>
            <w:tcBorders>
              <w:top w:val="single" w:sz="5" w:space="0" w:color="000000"/>
              <w:left w:val="single" w:sz="5" w:space="0" w:color="000000"/>
              <w:bottom w:val="single" w:sz="5" w:space="0" w:color="000000"/>
              <w:right w:val="single" w:sz="5" w:space="0" w:color="000000"/>
            </w:tcBorders>
            <w:vAlign w:val="center"/>
          </w:tcPr>
          <w:p w:rsidR="00B17C48" w:rsidRDefault="00ED35B9">
            <w:pPr>
              <w:spacing w:line="272" w:lineRule="exact"/>
              <w:ind w:left="120"/>
              <w:textAlignment w:val="baseline"/>
              <w:rPr>
                <w:rFonts w:ascii="Arial" w:eastAsia="Arial" w:hAnsi="Arial"/>
                <w:b/>
                <w:color w:val="000000"/>
                <w:sz w:val="24"/>
              </w:rPr>
            </w:pPr>
            <w:r>
              <w:rPr>
                <w:rFonts w:ascii="Arial" w:eastAsia="Arial" w:hAnsi="Arial"/>
                <w:b/>
                <w:color w:val="000000"/>
                <w:sz w:val="24"/>
              </w:rPr>
              <w:t>1 Adult</w:t>
            </w:r>
          </w:p>
        </w:tc>
        <w:tc>
          <w:tcPr>
            <w:tcW w:w="1594" w:type="dxa"/>
            <w:tcBorders>
              <w:top w:val="single" w:sz="5" w:space="0" w:color="000000"/>
              <w:left w:val="single" w:sz="5" w:space="0" w:color="000000"/>
              <w:bottom w:val="single" w:sz="5" w:space="0" w:color="000000"/>
              <w:right w:val="single" w:sz="5" w:space="0" w:color="000000"/>
            </w:tcBorders>
            <w:vAlign w:val="center"/>
          </w:tcPr>
          <w:p w:rsidR="00B17C48" w:rsidRDefault="00ED35B9">
            <w:pPr>
              <w:spacing w:line="272" w:lineRule="exact"/>
              <w:ind w:left="111"/>
              <w:textAlignment w:val="baseline"/>
              <w:rPr>
                <w:rFonts w:ascii="Arial" w:eastAsia="Arial" w:hAnsi="Arial"/>
                <w:color w:val="000000"/>
                <w:sz w:val="24"/>
              </w:rPr>
            </w:pPr>
            <w:r>
              <w:rPr>
                <w:rFonts w:ascii="Arial" w:eastAsia="Arial" w:hAnsi="Arial"/>
                <w:color w:val="000000"/>
                <w:sz w:val="24"/>
              </w:rPr>
              <w:t>£13,200</w:t>
            </w:r>
          </w:p>
        </w:tc>
        <w:tc>
          <w:tcPr>
            <w:tcW w:w="1593" w:type="dxa"/>
            <w:tcBorders>
              <w:top w:val="single" w:sz="5" w:space="0" w:color="000000"/>
              <w:left w:val="single" w:sz="5" w:space="0" w:color="000000"/>
              <w:bottom w:val="single" w:sz="5" w:space="0" w:color="000000"/>
              <w:right w:val="single" w:sz="5" w:space="0" w:color="000000"/>
            </w:tcBorders>
            <w:vAlign w:val="center"/>
          </w:tcPr>
          <w:p w:rsidR="00B17C48" w:rsidRDefault="00ED35B9">
            <w:pPr>
              <w:spacing w:line="272" w:lineRule="exact"/>
              <w:ind w:right="623"/>
              <w:jc w:val="right"/>
              <w:textAlignment w:val="baseline"/>
              <w:rPr>
                <w:rFonts w:ascii="Arial" w:eastAsia="Arial" w:hAnsi="Arial"/>
                <w:color w:val="000000"/>
                <w:sz w:val="24"/>
              </w:rPr>
            </w:pPr>
            <w:r>
              <w:rPr>
                <w:rFonts w:ascii="Arial" w:eastAsia="Arial" w:hAnsi="Arial"/>
                <w:color w:val="000000"/>
                <w:sz w:val="24"/>
              </w:rPr>
              <w:t>£17,400</w:t>
            </w:r>
          </w:p>
        </w:tc>
        <w:tc>
          <w:tcPr>
            <w:tcW w:w="1594" w:type="dxa"/>
            <w:tcBorders>
              <w:top w:val="single" w:sz="5" w:space="0" w:color="000000"/>
              <w:left w:val="single" w:sz="5" w:space="0" w:color="000000"/>
              <w:bottom w:val="single" w:sz="5" w:space="0" w:color="000000"/>
              <w:right w:val="single" w:sz="5" w:space="0" w:color="000000"/>
            </w:tcBorders>
            <w:vAlign w:val="center"/>
          </w:tcPr>
          <w:p w:rsidR="00B17C48" w:rsidRDefault="00ED35B9">
            <w:pPr>
              <w:spacing w:line="272" w:lineRule="exact"/>
              <w:ind w:left="111"/>
              <w:textAlignment w:val="baseline"/>
              <w:rPr>
                <w:rFonts w:ascii="Arial" w:eastAsia="Arial" w:hAnsi="Arial"/>
                <w:color w:val="000000"/>
                <w:sz w:val="24"/>
              </w:rPr>
            </w:pPr>
            <w:r>
              <w:rPr>
                <w:rFonts w:ascii="Arial" w:eastAsia="Arial" w:hAnsi="Arial"/>
                <w:color w:val="000000"/>
                <w:sz w:val="24"/>
              </w:rPr>
              <w:t>£21,600</w:t>
            </w:r>
          </w:p>
        </w:tc>
        <w:tc>
          <w:tcPr>
            <w:tcW w:w="1594" w:type="dxa"/>
            <w:tcBorders>
              <w:top w:val="single" w:sz="5" w:space="0" w:color="000000"/>
              <w:left w:val="single" w:sz="5" w:space="0" w:color="000000"/>
              <w:bottom w:val="single" w:sz="5" w:space="0" w:color="000000"/>
              <w:right w:val="single" w:sz="5" w:space="0" w:color="000000"/>
            </w:tcBorders>
            <w:vAlign w:val="center"/>
          </w:tcPr>
          <w:p w:rsidR="00B17C48" w:rsidRDefault="00ED35B9">
            <w:pPr>
              <w:spacing w:line="272" w:lineRule="exact"/>
              <w:ind w:left="111"/>
              <w:textAlignment w:val="baseline"/>
              <w:rPr>
                <w:rFonts w:ascii="Arial" w:eastAsia="Arial" w:hAnsi="Arial"/>
                <w:color w:val="000000"/>
                <w:sz w:val="24"/>
              </w:rPr>
            </w:pPr>
            <w:r>
              <w:rPr>
                <w:rFonts w:ascii="Arial" w:eastAsia="Arial" w:hAnsi="Arial"/>
                <w:color w:val="000000"/>
                <w:sz w:val="24"/>
              </w:rPr>
              <w:t>£25,800</w:t>
            </w:r>
          </w:p>
        </w:tc>
        <w:tc>
          <w:tcPr>
            <w:tcW w:w="1598" w:type="dxa"/>
            <w:tcBorders>
              <w:top w:val="single" w:sz="5" w:space="0" w:color="000000"/>
              <w:left w:val="single" w:sz="5" w:space="0" w:color="000000"/>
              <w:bottom w:val="single" w:sz="5" w:space="0" w:color="000000"/>
              <w:right w:val="single" w:sz="5" w:space="0" w:color="000000"/>
            </w:tcBorders>
            <w:vAlign w:val="center"/>
          </w:tcPr>
          <w:p w:rsidR="00B17C48" w:rsidRDefault="00ED35B9">
            <w:pPr>
              <w:spacing w:line="272" w:lineRule="exact"/>
              <w:ind w:left="110"/>
              <w:textAlignment w:val="baseline"/>
              <w:rPr>
                <w:rFonts w:ascii="Arial" w:eastAsia="Arial" w:hAnsi="Arial"/>
                <w:color w:val="000000"/>
                <w:sz w:val="24"/>
              </w:rPr>
            </w:pPr>
            <w:r>
              <w:rPr>
                <w:rFonts w:ascii="Arial" w:eastAsia="Arial" w:hAnsi="Arial"/>
                <w:color w:val="000000"/>
                <w:sz w:val="24"/>
              </w:rPr>
              <w:t>£30,000</w:t>
            </w:r>
          </w:p>
        </w:tc>
      </w:tr>
      <w:tr w:rsidR="00B17C48">
        <w:trPr>
          <w:trHeight w:hRule="exact" w:val="288"/>
        </w:trPr>
        <w:tc>
          <w:tcPr>
            <w:tcW w:w="1603" w:type="dxa"/>
            <w:tcBorders>
              <w:top w:val="single" w:sz="5" w:space="0" w:color="000000"/>
              <w:left w:val="single" w:sz="5" w:space="0" w:color="000000"/>
              <w:bottom w:val="single" w:sz="5" w:space="0" w:color="000000"/>
              <w:right w:val="single" w:sz="5" w:space="0" w:color="000000"/>
            </w:tcBorders>
            <w:vAlign w:val="center"/>
          </w:tcPr>
          <w:p w:rsidR="00B17C48" w:rsidRDefault="00ED35B9">
            <w:pPr>
              <w:spacing w:line="272" w:lineRule="exact"/>
              <w:ind w:left="120"/>
              <w:textAlignment w:val="baseline"/>
              <w:rPr>
                <w:rFonts w:ascii="Arial" w:eastAsia="Arial" w:hAnsi="Arial"/>
                <w:b/>
                <w:color w:val="000000"/>
                <w:sz w:val="24"/>
              </w:rPr>
            </w:pPr>
            <w:r>
              <w:rPr>
                <w:rFonts w:ascii="Arial" w:eastAsia="Arial" w:hAnsi="Arial"/>
                <w:b/>
                <w:color w:val="000000"/>
                <w:sz w:val="24"/>
              </w:rPr>
              <w:t>2 Adults</w:t>
            </w:r>
          </w:p>
        </w:tc>
        <w:tc>
          <w:tcPr>
            <w:tcW w:w="1594" w:type="dxa"/>
            <w:tcBorders>
              <w:top w:val="single" w:sz="5" w:space="0" w:color="000000"/>
              <w:left w:val="single" w:sz="5" w:space="0" w:color="000000"/>
              <w:bottom w:val="single" w:sz="5" w:space="0" w:color="000000"/>
              <w:right w:val="single" w:sz="5" w:space="0" w:color="000000"/>
            </w:tcBorders>
            <w:vAlign w:val="center"/>
          </w:tcPr>
          <w:p w:rsidR="00B17C48" w:rsidRDefault="00ED35B9">
            <w:pPr>
              <w:spacing w:line="272" w:lineRule="exact"/>
              <w:ind w:left="111"/>
              <w:textAlignment w:val="baseline"/>
              <w:rPr>
                <w:rFonts w:ascii="Arial" w:eastAsia="Arial" w:hAnsi="Arial"/>
                <w:color w:val="000000"/>
                <w:sz w:val="24"/>
              </w:rPr>
            </w:pPr>
            <w:r>
              <w:rPr>
                <w:rFonts w:ascii="Arial" w:eastAsia="Arial" w:hAnsi="Arial"/>
                <w:color w:val="000000"/>
                <w:sz w:val="24"/>
              </w:rPr>
              <w:t>£19,800</w:t>
            </w:r>
          </w:p>
        </w:tc>
        <w:tc>
          <w:tcPr>
            <w:tcW w:w="1593" w:type="dxa"/>
            <w:tcBorders>
              <w:top w:val="single" w:sz="5" w:space="0" w:color="000000"/>
              <w:left w:val="single" w:sz="5" w:space="0" w:color="000000"/>
              <w:bottom w:val="single" w:sz="5" w:space="0" w:color="000000"/>
              <w:right w:val="single" w:sz="5" w:space="0" w:color="000000"/>
            </w:tcBorders>
            <w:vAlign w:val="center"/>
          </w:tcPr>
          <w:p w:rsidR="00B17C48" w:rsidRDefault="00ED35B9">
            <w:pPr>
              <w:spacing w:line="272" w:lineRule="exact"/>
              <w:ind w:right="623"/>
              <w:jc w:val="right"/>
              <w:textAlignment w:val="baseline"/>
              <w:rPr>
                <w:rFonts w:ascii="Arial" w:eastAsia="Arial" w:hAnsi="Arial"/>
                <w:color w:val="000000"/>
                <w:sz w:val="24"/>
              </w:rPr>
            </w:pPr>
            <w:r>
              <w:rPr>
                <w:rFonts w:ascii="Arial" w:eastAsia="Arial" w:hAnsi="Arial"/>
                <w:color w:val="000000"/>
                <w:sz w:val="24"/>
              </w:rPr>
              <w:t>£24,000</w:t>
            </w:r>
          </w:p>
        </w:tc>
        <w:tc>
          <w:tcPr>
            <w:tcW w:w="1594" w:type="dxa"/>
            <w:tcBorders>
              <w:top w:val="single" w:sz="5" w:space="0" w:color="000000"/>
              <w:left w:val="single" w:sz="5" w:space="0" w:color="000000"/>
              <w:bottom w:val="single" w:sz="5" w:space="0" w:color="000000"/>
              <w:right w:val="single" w:sz="5" w:space="0" w:color="000000"/>
            </w:tcBorders>
            <w:vAlign w:val="center"/>
          </w:tcPr>
          <w:p w:rsidR="00B17C48" w:rsidRDefault="00ED35B9">
            <w:pPr>
              <w:spacing w:line="272" w:lineRule="exact"/>
              <w:ind w:left="111"/>
              <w:textAlignment w:val="baseline"/>
              <w:rPr>
                <w:rFonts w:ascii="Arial" w:eastAsia="Arial" w:hAnsi="Arial"/>
                <w:color w:val="000000"/>
                <w:sz w:val="24"/>
              </w:rPr>
            </w:pPr>
            <w:r>
              <w:rPr>
                <w:rFonts w:ascii="Arial" w:eastAsia="Arial" w:hAnsi="Arial"/>
                <w:color w:val="000000"/>
                <w:sz w:val="24"/>
              </w:rPr>
              <w:t>£28,200</w:t>
            </w:r>
          </w:p>
        </w:tc>
        <w:tc>
          <w:tcPr>
            <w:tcW w:w="1594" w:type="dxa"/>
            <w:tcBorders>
              <w:top w:val="single" w:sz="5" w:space="0" w:color="000000"/>
              <w:left w:val="single" w:sz="5" w:space="0" w:color="000000"/>
              <w:bottom w:val="single" w:sz="5" w:space="0" w:color="000000"/>
              <w:right w:val="single" w:sz="5" w:space="0" w:color="000000"/>
            </w:tcBorders>
            <w:vAlign w:val="center"/>
          </w:tcPr>
          <w:p w:rsidR="00B17C48" w:rsidRDefault="00ED35B9">
            <w:pPr>
              <w:spacing w:line="272" w:lineRule="exact"/>
              <w:ind w:left="111"/>
              <w:textAlignment w:val="baseline"/>
              <w:rPr>
                <w:rFonts w:ascii="Arial" w:eastAsia="Arial" w:hAnsi="Arial"/>
                <w:color w:val="000000"/>
                <w:sz w:val="24"/>
              </w:rPr>
            </w:pPr>
            <w:r>
              <w:rPr>
                <w:rFonts w:ascii="Arial" w:eastAsia="Arial" w:hAnsi="Arial"/>
                <w:color w:val="000000"/>
                <w:sz w:val="24"/>
              </w:rPr>
              <w:t>£32,400</w:t>
            </w:r>
          </w:p>
        </w:tc>
        <w:tc>
          <w:tcPr>
            <w:tcW w:w="1598" w:type="dxa"/>
            <w:tcBorders>
              <w:top w:val="single" w:sz="5" w:space="0" w:color="000000"/>
              <w:left w:val="single" w:sz="5" w:space="0" w:color="000000"/>
              <w:bottom w:val="single" w:sz="5" w:space="0" w:color="000000"/>
              <w:right w:val="single" w:sz="5" w:space="0" w:color="000000"/>
            </w:tcBorders>
            <w:vAlign w:val="center"/>
          </w:tcPr>
          <w:p w:rsidR="00B17C48" w:rsidRDefault="00ED35B9">
            <w:pPr>
              <w:spacing w:line="272" w:lineRule="exact"/>
              <w:ind w:left="110"/>
              <w:textAlignment w:val="baseline"/>
              <w:rPr>
                <w:rFonts w:ascii="Arial" w:eastAsia="Arial" w:hAnsi="Arial"/>
                <w:color w:val="000000"/>
                <w:sz w:val="24"/>
              </w:rPr>
            </w:pPr>
            <w:r>
              <w:rPr>
                <w:rFonts w:ascii="Arial" w:eastAsia="Arial" w:hAnsi="Arial"/>
                <w:color w:val="000000"/>
                <w:sz w:val="24"/>
              </w:rPr>
              <w:t>£36,600</w:t>
            </w:r>
          </w:p>
        </w:tc>
      </w:tr>
      <w:tr w:rsidR="00B17C48">
        <w:trPr>
          <w:trHeight w:hRule="exact" w:val="288"/>
        </w:trPr>
        <w:tc>
          <w:tcPr>
            <w:tcW w:w="1603" w:type="dxa"/>
            <w:tcBorders>
              <w:top w:val="single" w:sz="5" w:space="0" w:color="000000"/>
              <w:left w:val="single" w:sz="5" w:space="0" w:color="000000"/>
              <w:bottom w:val="single" w:sz="5" w:space="0" w:color="000000"/>
              <w:right w:val="single" w:sz="5" w:space="0" w:color="000000"/>
            </w:tcBorders>
            <w:vAlign w:val="center"/>
          </w:tcPr>
          <w:p w:rsidR="00B17C48" w:rsidRDefault="00ED35B9">
            <w:pPr>
              <w:spacing w:line="277" w:lineRule="exact"/>
              <w:ind w:left="120"/>
              <w:textAlignment w:val="baseline"/>
              <w:rPr>
                <w:rFonts w:ascii="Arial" w:eastAsia="Arial" w:hAnsi="Arial"/>
                <w:b/>
                <w:color w:val="000000"/>
                <w:sz w:val="24"/>
              </w:rPr>
            </w:pPr>
            <w:r>
              <w:rPr>
                <w:rFonts w:ascii="Arial" w:eastAsia="Arial" w:hAnsi="Arial"/>
                <w:b/>
                <w:color w:val="000000"/>
                <w:sz w:val="24"/>
              </w:rPr>
              <w:t>3+ Adults</w:t>
            </w:r>
          </w:p>
        </w:tc>
        <w:tc>
          <w:tcPr>
            <w:tcW w:w="1594" w:type="dxa"/>
            <w:tcBorders>
              <w:top w:val="single" w:sz="5" w:space="0" w:color="000000"/>
              <w:left w:val="single" w:sz="5" w:space="0" w:color="000000"/>
              <w:bottom w:val="single" w:sz="5" w:space="0" w:color="000000"/>
              <w:right w:val="single" w:sz="5" w:space="0" w:color="000000"/>
            </w:tcBorders>
            <w:vAlign w:val="center"/>
          </w:tcPr>
          <w:p w:rsidR="00B17C48" w:rsidRDefault="00ED35B9">
            <w:pPr>
              <w:spacing w:after="3" w:line="274" w:lineRule="exact"/>
              <w:ind w:left="111"/>
              <w:textAlignment w:val="baseline"/>
              <w:rPr>
                <w:rFonts w:ascii="Arial" w:eastAsia="Arial" w:hAnsi="Arial"/>
                <w:color w:val="000000"/>
                <w:sz w:val="24"/>
              </w:rPr>
            </w:pPr>
            <w:r>
              <w:rPr>
                <w:rFonts w:ascii="Arial" w:eastAsia="Arial" w:hAnsi="Arial"/>
                <w:color w:val="000000"/>
                <w:sz w:val="24"/>
              </w:rPr>
              <w:t>£26,400</w:t>
            </w:r>
          </w:p>
        </w:tc>
        <w:tc>
          <w:tcPr>
            <w:tcW w:w="1593" w:type="dxa"/>
            <w:tcBorders>
              <w:top w:val="single" w:sz="5" w:space="0" w:color="000000"/>
              <w:left w:val="single" w:sz="5" w:space="0" w:color="000000"/>
              <w:bottom w:val="single" w:sz="5" w:space="0" w:color="000000"/>
              <w:right w:val="single" w:sz="5" w:space="0" w:color="000000"/>
            </w:tcBorders>
            <w:vAlign w:val="center"/>
          </w:tcPr>
          <w:p w:rsidR="00B17C48" w:rsidRDefault="00ED35B9">
            <w:pPr>
              <w:spacing w:after="3" w:line="274" w:lineRule="exact"/>
              <w:ind w:right="623"/>
              <w:jc w:val="right"/>
              <w:textAlignment w:val="baseline"/>
              <w:rPr>
                <w:rFonts w:ascii="Arial" w:eastAsia="Arial" w:hAnsi="Arial"/>
                <w:color w:val="000000"/>
                <w:sz w:val="24"/>
              </w:rPr>
            </w:pPr>
            <w:r>
              <w:rPr>
                <w:rFonts w:ascii="Arial" w:eastAsia="Arial" w:hAnsi="Arial"/>
                <w:color w:val="000000"/>
                <w:sz w:val="24"/>
              </w:rPr>
              <w:t>£30,600</w:t>
            </w:r>
          </w:p>
        </w:tc>
        <w:tc>
          <w:tcPr>
            <w:tcW w:w="1594" w:type="dxa"/>
            <w:tcBorders>
              <w:top w:val="single" w:sz="5" w:space="0" w:color="000000"/>
              <w:left w:val="single" w:sz="5" w:space="0" w:color="000000"/>
              <w:bottom w:val="single" w:sz="5" w:space="0" w:color="000000"/>
              <w:right w:val="single" w:sz="5" w:space="0" w:color="000000"/>
            </w:tcBorders>
            <w:vAlign w:val="center"/>
          </w:tcPr>
          <w:p w:rsidR="00B17C48" w:rsidRDefault="00ED35B9">
            <w:pPr>
              <w:spacing w:after="3" w:line="274" w:lineRule="exact"/>
              <w:ind w:left="111"/>
              <w:textAlignment w:val="baseline"/>
              <w:rPr>
                <w:rFonts w:ascii="Arial" w:eastAsia="Arial" w:hAnsi="Arial"/>
                <w:color w:val="000000"/>
                <w:sz w:val="24"/>
              </w:rPr>
            </w:pPr>
            <w:r>
              <w:rPr>
                <w:rFonts w:ascii="Arial" w:eastAsia="Arial" w:hAnsi="Arial"/>
                <w:color w:val="000000"/>
                <w:sz w:val="24"/>
              </w:rPr>
              <w:t>£34,800</w:t>
            </w:r>
          </w:p>
        </w:tc>
        <w:tc>
          <w:tcPr>
            <w:tcW w:w="1594" w:type="dxa"/>
            <w:tcBorders>
              <w:top w:val="single" w:sz="5" w:space="0" w:color="000000"/>
              <w:left w:val="single" w:sz="5" w:space="0" w:color="000000"/>
              <w:bottom w:val="single" w:sz="5" w:space="0" w:color="000000"/>
              <w:right w:val="single" w:sz="5" w:space="0" w:color="000000"/>
            </w:tcBorders>
            <w:vAlign w:val="center"/>
          </w:tcPr>
          <w:p w:rsidR="00B17C48" w:rsidRDefault="00ED35B9">
            <w:pPr>
              <w:spacing w:after="3" w:line="274" w:lineRule="exact"/>
              <w:ind w:left="111"/>
              <w:textAlignment w:val="baseline"/>
              <w:rPr>
                <w:rFonts w:ascii="Arial" w:eastAsia="Arial" w:hAnsi="Arial"/>
                <w:color w:val="000000"/>
                <w:sz w:val="24"/>
              </w:rPr>
            </w:pPr>
            <w:r>
              <w:rPr>
                <w:rFonts w:ascii="Arial" w:eastAsia="Arial" w:hAnsi="Arial"/>
                <w:color w:val="000000"/>
                <w:sz w:val="24"/>
              </w:rPr>
              <w:t>£39,000</w:t>
            </w:r>
          </w:p>
        </w:tc>
        <w:tc>
          <w:tcPr>
            <w:tcW w:w="1598" w:type="dxa"/>
            <w:tcBorders>
              <w:top w:val="single" w:sz="5" w:space="0" w:color="000000"/>
              <w:left w:val="single" w:sz="5" w:space="0" w:color="000000"/>
              <w:bottom w:val="single" w:sz="5" w:space="0" w:color="000000"/>
              <w:right w:val="single" w:sz="5" w:space="0" w:color="000000"/>
            </w:tcBorders>
            <w:vAlign w:val="center"/>
          </w:tcPr>
          <w:p w:rsidR="00B17C48" w:rsidRDefault="00ED35B9">
            <w:pPr>
              <w:spacing w:after="3" w:line="274" w:lineRule="exact"/>
              <w:ind w:left="110"/>
              <w:textAlignment w:val="baseline"/>
              <w:rPr>
                <w:rFonts w:ascii="Arial" w:eastAsia="Arial" w:hAnsi="Arial"/>
                <w:color w:val="000000"/>
                <w:sz w:val="24"/>
              </w:rPr>
            </w:pPr>
            <w:r>
              <w:rPr>
                <w:rFonts w:ascii="Arial" w:eastAsia="Arial" w:hAnsi="Arial"/>
                <w:color w:val="000000"/>
                <w:sz w:val="24"/>
              </w:rPr>
              <w:t>£43,200</w:t>
            </w:r>
          </w:p>
        </w:tc>
      </w:tr>
    </w:tbl>
    <w:p w:rsidR="00B17C48" w:rsidRDefault="00B17C48">
      <w:pPr>
        <w:spacing w:after="502" w:line="20" w:lineRule="exact"/>
      </w:pPr>
    </w:p>
    <w:p w:rsidR="00B17C48" w:rsidRDefault="00ED35B9">
      <w:pPr>
        <w:spacing w:line="317" w:lineRule="exact"/>
        <w:ind w:left="144" w:right="792"/>
        <w:jc w:val="both"/>
        <w:textAlignment w:val="baseline"/>
        <w:rPr>
          <w:rFonts w:ascii="Arial" w:eastAsia="Arial" w:hAnsi="Arial"/>
          <w:color w:val="000000"/>
          <w:sz w:val="24"/>
        </w:rPr>
      </w:pPr>
      <w:r>
        <w:rPr>
          <w:rFonts w:ascii="Arial" w:eastAsia="Arial" w:hAnsi="Arial"/>
          <w:color w:val="000000"/>
          <w:sz w:val="24"/>
        </w:rPr>
        <w:t>With applicants consent we will use the Discretionary Housing Grants application process to identify low income owner occupiers.</w:t>
      </w:r>
    </w:p>
    <w:p w:rsidR="00D35147" w:rsidRDefault="00ED35B9" w:rsidP="00D35147">
      <w:pPr>
        <w:spacing w:before="195" w:line="319" w:lineRule="exact"/>
        <w:ind w:left="144" w:right="648"/>
        <w:textAlignment w:val="baseline"/>
        <w:rPr>
          <w:rFonts w:ascii="Arial" w:eastAsia="Arial" w:hAnsi="Arial"/>
          <w:color w:val="000000"/>
          <w:sz w:val="24"/>
        </w:rPr>
      </w:pPr>
      <w:r>
        <w:rPr>
          <w:rFonts w:ascii="Arial" w:eastAsia="Arial" w:hAnsi="Arial"/>
          <w:color w:val="000000"/>
          <w:sz w:val="24"/>
        </w:rPr>
        <w:t>Low income households living in energy inefficient privately rented housing will be identified through enforcement activity under the Housing Act 2004 and through the landlord accreditation scheme with their consent.</w:t>
      </w:r>
      <w:r w:rsidR="00D35147">
        <w:rPr>
          <w:rFonts w:ascii="Arial" w:eastAsia="Arial" w:hAnsi="Arial"/>
          <w:color w:val="000000"/>
          <w:sz w:val="24"/>
        </w:rPr>
        <w:t xml:space="preserve"> </w:t>
      </w:r>
      <w:r>
        <w:rPr>
          <w:rFonts w:ascii="Arial" w:eastAsia="Arial" w:hAnsi="Arial"/>
          <w:color w:val="000000"/>
          <w:sz w:val="24"/>
        </w:rPr>
        <w:t>We will encourage referrals through existing local partner referra</w:t>
      </w:r>
      <w:r w:rsidR="00D35147">
        <w:rPr>
          <w:rFonts w:ascii="Arial" w:eastAsia="Arial" w:hAnsi="Arial"/>
          <w:color w:val="000000"/>
          <w:sz w:val="24"/>
        </w:rPr>
        <w:t>l n</w:t>
      </w:r>
      <w:r>
        <w:rPr>
          <w:rFonts w:ascii="Arial" w:eastAsia="Arial" w:hAnsi="Arial"/>
          <w:color w:val="000000"/>
          <w:sz w:val="24"/>
        </w:rPr>
        <w:t>et</w:t>
      </w:r>
      <w:r w:rsidR="00D35147">
        <w:rPr>
          <w:rFonts w:ascii="Arial" w:eastAsia="Arial" w:hAnsi="Arial"/>
          <w:color w:val="000000"/>
          <w:sz w:val="24"/>
        </w:rPr>
        <w:t>works.</w:t>
      </w:r>
    </w:p>
    <w:p w:rsidR="00B17C48" w:rsidRDefault="00ED35B9">
      <w:pPr>
        <w:spacing w:before="1" w:line="518" w:lineRule="exact"/>
        <w:ind w:left="144" w:right="1584"/>
        <w:textAlignment w:val="baseline"/>
        <w:rPr>
          <w:rFonts w:ascii="Arial" w:eastAsia="Arial" w:hAnsi="Arial"/>
          <w:color w:val="000000"/>
          <w:sz w:val="24"/>
        </w:rPr>
      </w:pPr>
      <w:r>
        <w:rPr>
          <w:rFonts w:ascii="Arial" w:eastAsia="Arial" w:hAnsi="Arial"/>
          <w:b/>
          <w:color w:val="000000"/>
          <w:sz w:val="24"/>
        </w:rPr>
        <w:t>ii) How we assess Property inefficiency</w:t>
      </w:r>
    </w:p>
    <w:p w:rsidR="00B17C48" w:rsidRDefault="00ED35B9">
      <w:pPr>
        <w:spacing w:before="196" w:line="317" w:lineRule="exact"/>
        <w:ind w:left="144" w:right="360"/>
        <w:textAlignment w:val="baseline"/>
        <w:rPr>
          <w:rFonts w:ascii="Arial" w:eastAsia="Arial" w:hAnsi="Arial"/>
          <w:color w:val="000000"/>
          <w:spacing w:val="-1"/>
          <w:sz w:val="24"/>
        </w:rPr>
      </w:pPr>
      <w:r>
        <w:rPr>
          <w:rFonts w:ascii="Arial" w:eastAsia="Arial" w:hAnsi="Arial"/>
          <w:color w:val="000000"/>
          <w:spacing w:val="-1"/>
          <w:sz w:val="24"/>
        </w:rPr>
        <w:t>Where an EPC is present a household would qualify if they have an EPC rating of E</w:t>
      </w:r>
      <w:r w:rsidR="00E77D7A">
        <w:rPr>
          <w:rFonts w:ascii="Arial" w:eastAsia="Arial" w:hAnsi="Arial"/>
          <w:color w:val="000000"/>
          <w:spacing w:val="-1"/>
          <w:sz w:val="24"/>
        </w:rPr>
        <w:t>, F</w:t>
      </w:r>
      <w:r>
        <w:rPr>
          <w:rFonts w:ascii="Arial" w:eastAsia="Arial" w:hAnsi="Arial"/>
          <w:color w:val="000000"/>
          <w:spacing w:val="-1"/>
          <w:sz w:val="24"/>
        </w:rPr>
        <w:t xml:space="preserve"> or G. This is in line with the Government’s long-term fuel poverty strategy to ensure no fuel poor household is band E or below by 2025. If no EPC rating for the property is available then the guidance as in Appendix A will be used as developed by BEIS.</w:t>
      </w:r>
    </w:p>
    <w:p w:rsidR="00F84A1F" w:rsidRDefault="00ED35B9">
      <w:pPr>
        <w:spacing w:before="4" w:line="514" w:lineRule="exact"/>
        <w:ind w:left="144" w:right="432"/>
        <w:textAlignment w:val="baseline"/>
        <w:rPr>
          <w:rFonts w:ascii="Arial" w:eastAsia="Arial" w:hAnsi="Arial"/>
          <w:color w:val="000000"/>
          <w:sz w:val="24"/>
        </w:rPr>
      </w:pPr>
      <w:r>
        <w:rPr>
          <w:rFonts w:ascii="Arial" w:eastAsia="Arial" w:hAnsi="Arial"/>
          <w:color w:val="000000"/>
          <w:sz w:val="24"/>
        </w:rPr>
        <w:t xml:space="preserve">If the household achieves a score of 5 or above then it would qualify as being eligible. </w:t>
      </w:r>
    </w:p>
    <w:p w:rsidR="00B17C48" w:rsidRDefault="00ED35B9">
      <w:pPr>
        <w:spacing w:before="4" w:line="514" w:lineRule="exact"/>
        <w:ind w:left="144" w:right="432"/>
        <w:textAlignment w:val="baseline"/>
        <w:rPr>
          <w:rFonts w:ascii="Arial" w:eastAsia="Arial" w:hAnsi="Arial"/>
          <w:color w:val="000000"/>
          <w:sz w:val="24"/>
        </w:rPr>
      </w:pPr>
      <w:r>
        <w:rPr>
          <w:rFonts w:ascii="Arial" w:eastAsia="Arial" w:hAnsi="Arial"/>
          <w:color w:val="000000"/>
          <w:sz w:val="24"/>
          <w:u w:val="single"/>
        </w:rPr>
        <w:t>Rural areas</w:t>
      </w:r>
    </w:p>
    <w:p w:rsidR="00B17C48" w:rsidRDefault="00ED35B9">
      <w:pPr>
        <w:spacing w:before="201" w:line="317" w:lineRule="exact"/>
        <w:ind w:left="144" w:right="504"/>
        <w:textAlignment w:val="baseline"/>
        <w:rPr>
          <w:rFonts w:ascii="Arial" w:eastAsia="Arial" w:hAnsi="Arial"/>
          <w:color w:val="000000"/>
          <w:sz w:val="24"/>
        </w:rPr>
      </w:pPr>
      <w:r>
        <w:rPr>
          <w:rFonts w:ascii="Arial" w:eastAsia="Arial" w:hAnsi="Arial"/>
          <w:color w:val="000000"/>
          <w:sz w:val="24"/>
        </w:rPr>
        <w:t>In addition the City Council would be keen to target rural fuel poverty in off-gas areas (areas that do not have a mains gas supply).</w:t>
      </w:r>
    </w:p>
    <w:p w:rsidR="00B17C48" w:rsidRDefault="00ED35B9">
      <w:pPr>
        <w:spacing w:line="518" w:lineRule="exact"/>
        <w:ind w:left="144" w:right="792"/>
        <w:textAlignment w:val="baseline"/>
        <w:rPr>
          <w:rFonts w:ascii="Arial" w:eastAsia="Arial" w:hAnsi="Arial"/>
          <w:color w:val="000000"/>
          <w:sz w:val="24"/>
        </w:rPr>
      </w:pPr>
      <w:r>
        <w:rPr>
          <w:rFonts w:ascii="Arial" w:eastAsia="Arial" w:hAnsi="Arial"/>
          <w:color w:val="000000"/>
          <w:sz w:val="24"/>
        </w:rPr>
        <w:t xml:space="preserve">Therefore any households will qualify that meet the qualifying income criteria </w:t>
      </w:r>
      <w:r>
        <w:rPr>
          <w:rFonts w:ascii="Arial" w:eastAsia="Arial" w:hAnsi="Arial"/>
          <w:b/>
          <w:color w:val="000000"/>
          <w:sz w:val="24"/>
        </w:rPr>
        <w:t>and</w:t>
      </w:r>
      <w:r>
        <w:rPr>
          <w:rFonts w:ascii="Arial" w:eastAsia="Arial" w:hAnsi="Arial"/>
          <w:color w:val="000000"/>
          <w:sz w:val="24"/>
        </w:rPr>
        <w:t>: ~ Lack cavity wall insulation OR</w:t>
      </w:r>
    </w:p>
    <w:p w:rsidR="00B17C48" w:rsidRDefault="00ED35B9">
      <w:pPr>
        <w:spacing w:before="244" w:line="274" w:lineRule="exact"/>
        <w:ind w:left="144"/>
        <w:textAlignment w:val="baseline"/>
        <w:rPr>
          <w:rFonts w:ascii="Arial" w:eastAsia="Arial" w:hAnsi="Arial"/>
          <w:color w:val="000000"/>
          <w:sz w:val="24"/>
        </w:rPr>
      </w:pPr>
      <w:r>
        <w:rPr>
          <w:rFonts w:ascii="Arial" w:eastAsia="Arial" w:hAnsi="Arial"/>
          <w:color w:val="000000"/>
          <w:sz w:val="24"/>
        </w:rPr>
        <w:t>~ Have under 60mm loft insulation OR</w:t>
      </w:r>
    </w:p>
    <w:p w:rsidR="00B17C48" w:rsidRDefault="00B17C48">
      <w:pPr>
        <w:sectPr w:rsidR="00B17C48">
          <w:pgSz w:w="11904" w:h="16843"/>
          <w:pgMar w:top="900" w:right="1292" w:bottom="855" w:left="1008" w:header="720" w:footer="720" w:gutter="0"/>
          <w:cols w:space="720"/>
        </w:sectPr>
      </w:pPr>
    </w:p>
    <w:p w:rsidR="00B17C48" w:rsidRDefault="009A5B47">
      <w:pPr>
        <w:spacing w:before="18" w:line="279" w:lineRule="exact"/>
        <w:ind w:left="144"/>
        <w:textAlignment w:val="baseline"/>
        <w:rPr>
          <w:rFonts w:ascii="Arial" w:eastAsia="Arial" w:hAnsi="Arial"/>
          <w:color w:val="000000"/>
          <w:sz w:val="24"/>
        </w:rPr>
      </w:pPr>
      <w:r>
        <w:lastRenderedPageBreak/>
        <w:pict>
          <v:shape id="_x0000_s1029" type="#_x0000_t202" style="position:absolute;left:0;text-align:left;margin-left:514.15pt;margin-top:779.15pt;width:14.95pt;height:13.4pt;z-index:-251658240;mso-wrap-distance-left:0;mso-wrap-distance-right:0;mso-position-horizontal-relative:page;mso-position-vertical-relative:page" filled="f" stroked="f">
            <v:textbox inset="0,0,0,0">
              <w:txbxContent>
                <w:p w:rsidR="00B17C48" w:rsidRDefault="00ED35B9">
                  <w:pPr>
                    <w:spacing w:before="21" w:line="236" w:lineRule="exact"/>
                    <w:textAlignment w:val="baseline"/>
                    <w:rPr>
                      <w:rFonts w:ascii="Calibri" w:eastAsia="Calibri" w:hAnsi="Calibri"/>
                      <w:color w:val="000000"/>
                    </w:rPr>
                  </w:pPr>
                  <w:r>
                    <w:rPr>
                      <w:rFonts w:ascii="Calibri" w:eastAsia="Calibri" w:hAnsi="Calibri"/>
                      <w:color w:val="000000"/>
                    </w:rPr>
                    <w:t>4</w:t>
                  </w:r>
                </w:p>
              </w:txbxContent>
            </v:textbox>
            <w10:wrap type="square" anchorx="page" anchory="page"/>
          </v:shape>
        </w:pict>
      </w:r>
      <w:r w:rsidR="00ED35B9">
        <w:rPr>
          <w:rFonts w:ascii="Arial" w:eastAsia="Arial" w:hAnsi="Arial"/>
          <w:color w:val="000000"/>
          <w:sz w:val="24"/>
        </w:rPr>
        <w:t>~ Properties off the main gas network OR</w:t>
      </w:r>
    </w:p>
    <w:p w:rsidR="00B17C48" w:rsidRDefault="00ED35B9">
      <w:pPr>
        <w:spacing w:before="234" w:line="279" w:lineRule="exact"/>
        <w:ind w:left="144"/>
        <w:textAlignment w:val="baseline"/>
        <w:rPr>
          <w:rFonts w:ascii="Arial" w:eastAsia="Arial" w:hAnsi="Arial"/>
          <w:color w:val="000000"/>
          <w:sz w:val="24"/>
        </w:rPr>
      </w:pPr>
      <w:r>
        <w:rPr>
          <w:rFonts w:ascii="Arial" w:eastAsia="Arial" w:hAnsi="Arial"/>
          <w:color w:val="000000"/>
          <w:sz w:val="24"/>
        </w:rPr>
        <w:t>~ Any properties with mains gas that have not had central heating</w:t>
      </w:r>
    </w:p>
    <w:p w:rsidR="00B17C48" w:rsidRDefault="00ED35B9">
      <w:pPr>
        <w:numPr>
          <w:ilvl w:val="0"/>
          <w:numId w:val="9"/>
        </w:numPr>
        <w:tabs>
          <w:tab w:val="clear" w:pos="360"/>
          <w:tab w:val="left" w:pos="936"/>
        </w:tabs>
        <w:spacing w:before="240" w:line="279" w:lineRule="exact"/>
        <w:ind w:left="576"/>
        <w:textAlignment w:val="baseline"/>
        <w:rPr>
          <w:rFonts w:ascii="Arial" w:eastAsia="Arial" w:hAnsi="Arial"/>
          <w:b/>
          <w:color w:val="000000"/>
          <w:spacing w:val="-1"/>
          <w:sz w:val="24"/>
        </w:rPr>
      </w:pPr>
      <w:r>
        <w:rPr>
          <w:rFonts w:ascii="Arial" w:eastAsia="Arial" w:hAnsi="Arial"/>
          <w:b/>
          <w:color w:val="000000"/>
          <w:spacing w:val="-1"/>
          <w:sz w:val="24"/>
        </w:rPr>
        <w:t>Low income and vulnerable to cold</w:t>
      </w:r>
    </w:p>
    <w:p w:rsidR="00B17C48" w:rsidRDefault="00ED35B9">
      <w:pPr>
        <w:spacing w:before="206" w:line="316" w:lineRule="exact"/>
        <w:ind w:left="144" w:right="216"/>
        <w:textAlignment w:val="baseline"/>
        <w:rPr>
          <w:rFonts w:ascii="Arial" w:eastAsia="Arial" w:hAnsi="Arial"/>
          <w:color w:val="000000"/>
          <w:sz w:val="24"/>
        </w:rPr>
      </w:pPr>
      <w:r>
        <w:rPr>
          <w:rFonts w:ascii="Arial" w:eastAsia="Arial" w:hAnsi="Arial"/>
          <w:color w:val="000000"/>
          <w:sz w:val="24"/>
        </w:rPr>
        <w:t>Priority will be based on those living in inefficient housing as these households are less likely to qualify under existing Discretionary Housing grants scheme. However households may also qualify if they are vulnerable to the effects of the cold due to having a low income and also have a member of the household with the following characteristic which reflects the National Institute for Health and Care Excellence (NICE) 2015 guidance on excess Winter deaths and illness caused by cold homes:</w:t>
      </w:r>
    </w:p>
    <w:p w:rsidR="00B17C48" w:rsidRDefault="00ED35B9">
      <w:pPr>
        <w:spacing w:before="240" w:line="279" w:lineRule="exact"/>
        <w:ind w:left="144"/>
        <w:textAlignment w:val="baseline"/>
        <w:rPr>
          <w:rFonts w:ascii="Arial" w:eastAsia="Arial" w:hAnsi="Arial"/>
          <w:color w:val="000000"/>
          <w:spacing w:val="-1"/>
          <w:sz w:val="24"/>
        </w:rPr>
      </w:pPr>
      <w:r>
        <w:rPr>
          <w:rFonts w:ascii="Arial" w:eastAsia="Arial" w:hAnsi="Arial"/>
          <w:color w:val="000000"/>
          <w:spacing w:val="-1"/>
          <w:sz w:val="24"/>
        </w:rPr>
        <w:t>~ Aged over 60</w:t>
      </w:r>
    </w:p>
    <w:p w:rsidR="00B17C48" w:rsidRDefault="00ED35B9">
      <w:pPr>
        <w:spacing w:before="239" w:line="279" w:lineRule="exact"/>
        <w:ind w:left="144"/>
        <w:textAlignment w:val="baseline"/>
        <w:rPr>
          <w:rFonts w:ascii="Arial" w:eastAsia="Arial" w:hAnsi="Arial"/>
          <w:color w:val="000000"/>
          <w:sz w:val="24"/>
        </w:rPr>
      </w:pPr>
      <w:r>
        <w:rPr>
          <w:rFonts w:ascii="Arial" w:eastAsia="Arial" w:hAnsi="Arial"/>
          <w:color w:val="000000"/>
          <w:sz w:val="24"/>
        </w:rPr>
        <w:t>~ Children under 5 and pregnant mothers</w:t>
      </w:r>
    </w:p>
    <w:p w:rsidR="00B17C48" w:rsidRDefault="00ED35B9">
      <w:pPr>
        <w:spacing w:before="239" w:line="279" w:lineRule="exact"/>
        <w:ind w:left="144"/>
        <w:textAlignment w:val="baseline"/>
        <w:rPr>
          <w:rFonts w:ascii="Arial" w:eastAsia="Arial" w:hAnsi="Arial"/>
          <w:color w:val="000000"/>
          <w:sz w:val="24"/>
        </w:rPr>
      </w:pPr>
      <w:r>
        <w:rPr>
          <w:rFonts w:ascii="Arial" w:eastAsia="Arial" w:hAnsi="Arial"/>
          <w:color w:val="000000"/>
          <w:sz w:val="24"/>
        </w:rPr>
        <w:t>~ Respiratory disease (COPD, Asthma)</w:t>
      </w:r>
    </w:p>
    <w:p w:rsidR="00B17C48" w:rsidRDefault="00ED35B9">
      <w:pPr>
        <w:spacing w:before="235" w:line="279" w:lineRule="exact"/>
        <w:ind w:left="144"/>
        <w:textAlignment w:val="baseline"/>
        <w:rPr>
          <w:rFonts w:ascii="Arial" w:eastAsia="Arial" w:hAnsi="Arial"/>
          <w:color w:val="000000"/>
          <w:sz w:val="24"/>
        </w:rPr>
      </w:pPr>
      <w:r>
        <w:rPr>
          <w:rFonts w:ascii="Arial" w:eastAsia="Arial" w:hAnsi="Arial"/>
          <w:color w:val="000000"/>
          <w:sz w:val="24"/>
        </w:rPr>
        <w:t>~ Cardiovascular disease</w:t>
      </w:r>
    </w:p>
    <w:p w:rsidR="00B17C48" w:rsidRDefault="00ED35B9">
      <w:pPr>
        <w:spacing w:before="239" w:line="279" w:lineRule="exact"/>
        <w:ind w:left="144"/>
        <w:textAlignment w:val="baseline"/>
        <w:rPr>
          <w:rFonts w:ascii="Arial" w:eastAsia="Arial" w:hAnsi="Arial"/>
          <w:color w:val="000000"/>
          <w:sz w:val="24"/>
        </w:rPr>
      </w:pPr>
      <w:r>
        <w:rPr>
          <w:rFonts w:ascii="Arial" w:eastAsia="Arial" w:hAnsi="Arial"/>
          <w:color w:val="000000"/>
          <w:sz w:val="24"/>
        </w:rPr>
        <w:t>~ Mental illness</w:t>
      </w:r>
    </w:p>
    <w:p w:rsidR="00B17C48" w:rsidRDefault="00ED35B9">
      <w:pPr>
        <w:spacing w:before="235" w:line="279" w:lineRule="exact"/>
        <w:ind w:left="144"/>
        <w:textAlignment w:val="baseline"/>
        <w:rPr>
          <w:rFonts w:ascii="Arial" w:eastAsia="Arial" w:hAnsi="Arial"/>
          <w:color w:val="000000"/>
          <w:sz w:val="24"/>
        </w:rPr>
      </w:pPr>
      <w:r>
        <w:rPr>
          <w:rFonts w:ascii="Arial" w:eastAsia="Arial" w:hAnsi="Arial"/>
          <w:color w:val="000000"/>
          <w:sz w:val="24"/>
        </w:rPr>
        <w:t>~ Substance misusers</w:t>
      </w:r>
    </w:p>
    <w:p w:rsidR="00B17C48" w:rsidRDefault="00ED35B9">
      <w:pPr>
        <w:spacing w:before="239" w:line="279" w:lineRule="exact"/>
        <w:ind w:left="144"/>
        <w:textAlignment w:val="baseline"/>
        <w:rPr>
          <w:rFonts w:ascii="Arial" w:eastAsia="Arial" w:hAnsi="Arial"/>
          <w:color w:val="000000"/>
          <w:spacing w:val="-1"/>
          <w:sz w:val="24"/>
        </w:rPr>
      </w:pPr>
      <w:r>
        <w:rPr>
          <w:rFonts w:ascii="Arial" w:eastAsia="Arial" w:hAnsi="Arial"/>
          <w:color w:val="000000"/>
          <w:spacing w:val="-1"/>
          <w:sz w:val="24"/>
        </w:rPr>
        <w:t>~ Dementia</w:t>
      </w:r>
    </w:p>
    <w:p w:rsidR="00B17C48" w:rsidRDefault="00ED35B9">
      <w:pPr>
        <w:spacing w:before="240" w:line="279" w:lineRule="exact"/>
        <w:ind w:left="144"/>
        <w:textAlignment w:val="baseline"/>
        <w:rPr>
          <w:rFonts w:ascii="Arial" w:eastAsia="Arial" w:hAnsi="Arial"/>
          <w:color w:val="000000"/>
          <w:sz w:val="24"/>
        </w:rPr>
      </w:pPr>
      <w:r>
        <w:rPr>
          <w:rFonts w:ascii="Arial" w:eastAsia="Arial" w:hAnsi="Arial"/>
          <w:color w:val="000000"/>
          <w:sz w:val="24"/>
        </w:rPr>
        <w:t>~ Immuno-deficiency diseases</w:t>
      </w:r>
    </w:p>
    <w:p w:rsidR="00B17C48" w:rsidRDefault="00ED35B9">
      <w:pPr>
        <w:spacing w:before="239" w:line="279" w:lineRule="exact"/>
        <w:ind w:left="144"/>
        <w:textAlignment w:val="baseline"/>
        <w:rPr>
          <w:rFonts w:ascii="Arial" w:eastAsia="Arial" w:hAnsi="Arial"/>
          <w:color w:val="000000"/>
          <w:sz w:val="24"/>
        </w:rPr>
      </w:pPr>
      <w:r>
        <w:rPr>
          <w:rFonts w:ascii="Arial" w:eastAsia="Arial" w:hAnsi="Arial"/>
          <w:color w:val="000000"/>
          <w:sz w:val="24"/>
        </w:rPr>
        <w:t>~ Cancer</w:t>
      </w:r>
    </w:p>
    <w:p w:rsidR="00B17C48" w:rsidRDefault="00ED35B9">
      <w:pPr>
        <w:spacing w:before="240" w:line="279" w:lineRule="exact"/>
        <w:ind w:left="144"/>
        <w:textAlignment w:val="baseline"/>
        <w:rPr>
          <w:rFonts w:ascii="Arial" w:eastAsia="Arial" w:hAnsi="Arial"/>
          <w:color w:val="000000"/>
          <w:sz w:val="24"/>
        </w:rPr>
      </w:pPr>
      <w:r>
        <w:rPr>
          <w:rFonts w:ascii="Arial" w:eastAsia="Arial" w:hAnsi="Arial"/>
          <w:color w:val="000000"/>
          <w:sz w:val="24"/>
        </w:rPr>
        <w:t>~ Limited mobility</w:t>
      </w:r>
    </w:p>
    <w:p w:rsidR="00B17C48" w:rsidRDefault="00ED35B9">
      <w:pPr>
        <w:spacing w:before="234" w:line="279" w:lineRule="exact"/>
        <w:ind w:left="144"/>
        <w:textAlignment w:val="baseline"/>
        <w:rPr>
          <w:rFonts w:ascii="Arial" w:eastAsia="Arial" w:hAnsi="Arial"/>
          <w:color w:val="000000"/>
          <w:sz w:val="24"/>
        </w:rPr>
      </w:pPr>
      <w:r>
        <w:rPr>
          <w:rFonts w:ascii="Arial" w:eastAsia="Arial" w:hAnsi="Arial"/>
          <w:color w:val="000000"/>
          <w:sz w:val="24"/>
        </w:rPr>
        <w:t>~ Learning difficulties</w:t>
      </w:r>
    </w:p>
    <w:p w:rsidR="00B17C48" w:rsidRDefault="00ED35B9">
      <w:pPr>
        <w:spacing w:before="203" w:line="316" w:lineRule="exact"/>
        <w:ind w:left="144" w:right="648"/>
        <w:textAlignment w:val="baseline"/>
        <w:rPr>
          <w:rFonts w:ascii="Arial" w:eastAsia="Arial" w:hAnsi="Arial"/>
          <w:color w:val="000000"/>
          <w:sz w:val="24"/>
        </w:rPr>
      </w:pPr>
      <w:r>
        <w:rPr>
          <w:rFonts w:ascii="Arial" w:eastAsia="Arial" w:hAnsi="Arial"/>
          <w:color w:val="000000"/>
          <w:sz w:val="24"/>
        </w:rPr>
        <w:t xml:space="preserve">~ Diabetes (a condition that has been identified as a target area in </w:t>
      </w:r>
      <w:r w:rsidR="00E77D7A">
        <w:rPr>
          <w:rFonts w:ascii="Arial" w:eastAsia="Arial" w:hAnsi="Arial"/>
          <w:color w:val="000000"/>
          <w:sz w:val="24"/>
        </w:rPr>
        <w:t>Cumbia’s</w:t>
      </w:r>
      <w:r>
        <w:rPr>
          <w:rFonts w:ascii="Arial" w:eastAsia="Arial" w:hAnsi="Arial"/>
          <w:color w:val="000000"/>
          <w:sz w:val="24"/>
        </w:rPr>
        <w:t xml:space="preserve"> Joint strategic needs assessment)</w:t>
      </w:r>
    </w:p>
    <w:p w:rsidR="00B17C48" w:rsidRDefault="00ED35B9">
      <w:pPr>
        <w:spacing w:before="240" w:line="279" w:lineRule="exact"/>
        <w:ind w:left="144"/>
        <w:textAlignment w:val="baseline"/>
        <w:rPr>
          <w:rFonts w:ascii="Arial" w:eastAsia="Arial" w:hAnsi="Arial"/>
          <w:color w:val="000000"/>
          <w:sz w:val="24"/>
        </w:rPr>
      </w:pPr>
      <w:r>
        <w:rPr>
          <w:rFonts w:ascii="Arial" w:eastAsia="Arial" w:hAnsi="Arial"/>
          <w:color w:val="000000"/>
          <w:sz w:val="24"/>
        </w:rPr>
        <w:t>Qualifying households still need to meet the income threshold criteria.</w:t>
      </w:r>
    </w:p>
    <w:p w:rsidR="00B17C48" w:rsidRPr="00E77D7A" w:rsidRDefault="00E77D7A" w:rsidP="00E77D7A">
      <w:pPr>
        <w:pStyle w:val="ListParagraph"/>
        <w:numPr>
          <w:ilvl w:val="0"/>
          <w:numId w:val="9"/>
        </w:numPr>
        <w:tabs>
          <w:tab w:val="left" w:pos="936"/>
        </w:tabs>
        <w:spacing w:before="239" w:line="279" w:lineRule="exact"/>
        <w:textAlignment w:val="baseline"/>
        <w:rPr>
          <w:rFonts w:ascii="Arial" w:eastAsia="Arial" w:hAnsi="Arial"/>
          <w:b/>
          <w:color w:val="000000"/>
          <w:sz w:val="24"/>
        </w:rPr>
      </w:pPr>
      <w:r>
        <w:rPr>
          <w:rFonts w:ascii="Arial" w:eastAsia="Arial" w:hAnsi="Arial"/>
          <w:b/>
          <w:color w:val="000000"/>
          <w:sz w:val="24"/>
        </w:rPr>
        <w:t xml:space="preserve"> </w:t>
      </w:r>
      <w:r w:rsidR="00ED35B9" w:rsidRPr="00E77D7A">
        <w:rPr>
          <w:rFonts w:ascii="Arial" w:eastAsia="Arial" w:hAnsi="Arial"/>
          <w:b/>
          <w:color w:val="000000"/>
          <w:sz w:val="24"/>
        </w:rPr>
        <w:t>Details of scheme requirements for Solid Wall In-fill projects</w:t>
      </w:r>
    </w:p>
    <w:p w:rsidR="00B17C48" w:rsidRDefault="00ED35B9">
      <w:pPr>
        <w:spacing w:before="197" w:line="317" w:lineRule="exact"/>
        <w:ind w:left="144" w:right="720"/>
        <w:textAlignment w:val="baseline"/>
        <w:rPr>
          <w:rFonts w:ascii="Arial" w:eastAsia="Arial" w:hAnsi="Arial"/>
          <w:color w:val="000000"/>
          <w:sz w:val="24"/>
        </w:rPr>
      </w:pPr>
      <w:r>
        <w:rPr>
          <w:rFonts w:ascii="Arial" w:eastAsia="Arial" w:hAnsi="Arial"/>
          <w:color w:val="000000"/>
          <w:sz w:val="24"/>
        </w:rPr>
        <w:t>In addition a proportion of non-fuel poor homes (in-fill) will be allowed for solid wall insulation projects if:</w:t>
      </w:r>
    </w:p>
    <w:p w:rsidR="00B17C48" w:rsidRDefault="00ED35B9">
      <w:pPr>
        <w:spacing w:before="201" w:line="317" w:lineRule="exact"/>
        <w:ind w:left="144" w:right="576"/>
        <w:textAlignment w:val="baseline"/>
        <w:rPr>
          <w:rFonts w:ascii="Arial" w:eastAsia="Arial" w:hAnsi="Arial"/>
          <w:color w:val="000000"/>
          <w:sz w:val="24"/>
        </w:rPr>
      </w:pPr>
      <w:r>
        <w:rPr>
          <w:rFonts w:ascii="Arial" w:eastAsia="Arial" w:hAnsi="Arial"/>
          <w:color w:val="000000"/>
          <w:sz w:val="24"/>
        </w:rPr>
        <w:t>~ 66% of occupiers of blocks of flats, terraces, adjacent properties are fuel poor/low income and vulnerable to cold or</w:t>
      </w:r>
    </w:p>
    <w:p w:rsidR="00B17C48" w:rsidRDefault="00ED35B9">
      <w:pPr>
        <w:spacing w:before="201" w:line="317" w:lineRule="exact"/>
        <w:ind w:left="144" w:right="216"/>
        <w:textAlignment w:val="baseline"/>
        <w:rPr>
          <w:rFonts w:ascii="Arial" w:eastAsia="Arial" w:hAnsi="Arial"/>
          <w:color w:val="000000"/>
          <w:sz w:val="24"/>
        </w:rPr>
      </w:pPr>
      <w:r>
        <w:rPr>
          <w:rFonts w:ascii="Arial" w:eastAsia="Arial" w:hAnsi="Arial"/>
          <w:color w:val="000000"/>
          <w:sz w:val="24"/>
        </w:rPr>
        <w:t>~ 50% of occupiers of semi-detached houses or bungalows and two premises buildings are fuel poor or low income and vulnerable to cold.</w:t>
      </w:r>
    </w:p>
    <w:p w:rsidR="00B17C48" w:rsidRDefault="00ED35B9">
      <w:pPr>
        <w:spacing w:before="239" w:line="279" w:lineRule="exact"/>
        <w:ind w:left="144"/>
        <w:textAlignment w:val="baseline"/>
        <w:rPr>
          <w:rFonts w:ascii="Arial" w:eastAsia="Arial" w:hAnsi="Arial"/>
          <w:color w:val="000000"/>
          <w:sz w:val="24"/>
        </w:rPr>
      </w:pPr>
      <w:r>
        <w:rPr>
          <w:rFonts w:ascii="Arial" w:eastAsia="Arial" w:hAnsi="Arial"/>
          <w:color w:val="000000"/>
          <w:sz w:val="24"/>
        </w:rPr>
        <w:t>Ofgem has issued guidance on its administrative requirements for in-fill.</w:t>
      </w:r>
    </w:p>
    <w:p w:rsidR="00B17C48" w:rsidRDefault="00B17C48">
      <w:pPr>
        <w:sectPr w:rsidR="00B17C48">
          <w:pgSz w:w="11904" w:h="16843"/>
          <w:pgMar w:top="900" w:right="1337" w:bottom="864" w:left="963" w:header="720" w:footer="720" w:gutter="0"/>
          <w:cols w:space="720"/>
        </w:sectPr>
      </w:pPr>
    </w:p>
    <w:p w:rsidR="00B17C48" w:rsidRDefault="009A5B47">
      <w:pPr>
        <w:numPr>
          <w:ilvl w:val="0"/>
          <w:numId w:val="10"/>
        </w:numPr>
        <w:tabs>
          <w:tab w:val="clear" w:pos="288"/>
          <w:tab w:val="left" w:pos="432"/>
        </w:tabs>
        <w:spacing w:line="403" w:lineRule="exact"/>
        <w:ind w:left="144" w:right="7344"/>
        <w:textAlignment w:val="baseline"/>
        <w:rPr>
          <w:rFonts w:ascii="Arial" w:eastAsia="Arial" w:hAnsi="Arial"/>
          <w:b/>
          <w:color w:val="000000"/>
          <w:sz w:val="24"/>
        </w:rPr>
      </w:pPr>
      <w:r>
        <w:lastRenderedPageBreak/>
        <w:pict>
          <v:shape id="_x0000_s1028" type="#_x0000_t202" style="position:absolute;left:0;text-align:left;margin-left:514.4pt;margin-top:779.15pt;width:14.45pt;height:13.4pt;z-index:-251657216;mso-wrap-distance-left:0;mso-wrap-distance-right:0;mso-position-horizontal-relative:page;mso-position-vertical-relative:page" filled="f" stroked="f">
            <v:textbox inset="0,0,0,0">
              <w:txbxContent>
                <w:p w:rsidR="00B17C48" w:rsidRDefault="00ED35B9">
                  <w:pPr>
                    <w:spacing w:before="21" w:line="236" w:lineRule="exact"/>
                    <w:textAlignment w:val="baseline"/>
                    <w:rPr>
                      <w:rFonts w:ascii="Calibri" w:eastAsia="Calibri" w:hAnsi="Calibri"/>
                      <w:color w:val="000000"/>
                    </w:rPr>
                  </w:pPr>
                  <w:r>
                    <w:rPr>
                      <w:rFonts w:ascii="Calibri" w:eastAsia="Calibri" w:hAnsi="Calibri"/>
                      <w:color w:val="000000"/>
                    </w:rPr>
                    <w:t>5</w:t>
                  </w:r>
                </w:p>
              </w:txbxContent>
            </v:textbox>
            <w10:wrap type="square" anchorx="page" anchory="page"/>
          </v:shape>
        </w:pict>
      </w:r>
      <w:r w:rsidR="00ED35B9">
        <w:rPr>
          <w:rFonts w:ascii="Arial" w:eastAsia="Arial" w:hAnsi="Arial"/>
          <w:b/>
          <w:color w:val="000000"/>
          <w:sz w:val="24"/>
        </w:rPr>
        <w:t xml:space="preserve">Governance </w:t>
      </w:r>
      <w:r w:rsidR="00ED35B9">
        <w:rPr>
          <w:rFonts w:ascii="Arial" w:eastAsia="Arial" w:hAnsi="Arial"/>
          <w:i/>
          <w:color w:val="000000"/>
          <w:sz w:val="24"/>
        </w:rPr>
        <w:t>Responsible Officer</w:t>
      </w:r>
    </w:p>
    <w:p w:rsidR="00B17C48" w:rsidRDefault="00ED35B9">
      <w:pPr>
        <w:spacing w:before="205" w:line="317" w:lineRule="exact"/>
        <w:ind w:left="144" w:right="792"/>
        <w:textAlignment w:val="baseline"/>
        <w:rPr>
          <w:rFonts w:ascii="Arial" w:eastAsia="Arial" w:hAnsi="Arial"/>
          <w:color w:val="000000"/>
          <w:sz w:val="24"/>
        </w:rPr>
      </w:pPr>
      <w:r>
        <w:rPr>
          <w:rFonts w:ascii="Arial" w:eastAsia="Arial" w:hAnsi="Arial"/>
          <w:color w:val="000000"/>
          <w:sz w:val="24"/>
        </w:rPr>
        <w:t>The officer below will be responsible for signing Declarations on behalf of the local authority:</w:t>
      </w:r>
    </w:p>
    <w:p w:rsidR="00B17C48" w:rsidRDefault="00ED35B9">
      <w:pPr>
        <w:spacing w:before="239" w:line="279" w:lineRule="exact"/>
        <w:ind w:left="144"/>
        <w:textAlignment w:val="baseline"/>
        <w:rPr>
          <w:rFonts w:ascii="Arial" w:eastAsia="Arial" w:hAnsi="Arial"/>
          <w:color w:val="000000"/>
          <w:sz w:val="24"/>
        </w:rPr>
      </w:pPr>
      <w:r>
        <w:rPr>
          <w:rFonts w:ascii="Arial" w:eastAsia="Arial" w:hAnsi="Arial"/>
          <w:color w:val="000000"/>
          <w:sz w:val="24"/>
        </w:rPr>
        <w:t>Job Title: Scott Burns- Regulatory Services Manager</w:t>
      </w:r>
    </w:p>
    <w:p w:rsidR="00B17C48" w:rsidRDefault="00ED35B9">
      <w:pPr>
        <w:spacing w:before="235" w:line="279" w:lineRule="exact"/>
        <w:ind w:left="144"/>
        <w:textAlignment w:val="baseline"/>
        <w:rPr>
          <w:rFonts w:ascii="Arial" w:eastAsia="Arial" w:hAnsi="Arial"/>
          <w:color w:val="000000"/>
          <w:sz w:val="24"/>
        </w:rPr>
      </w:pPr>
      <w:r>
        <w:rPr>
          <w:rFonts w:ascii="Arial" w:eastAsia="Arial" w:hAnsi="Arial"/>
          <w:color w:val="000000"/>
          <w:sz w:val="24"/>
        </w:rPr>
        <w:t>Telephone: 01228 817328</w:t>
      </w:r>
    </w:p>
    <w:p w:rsidR="00B17C48" w:rsidRDefault="009A5B47">
      <w:pPr>
        <w:spacing w:line="518" w:lineRule="exact"/>
        <w:ind w:left="144" w:right="5760"/>
        <w:textAlignment w:val="baseline"/>
        <w:rPr>
          <w:rFonts w:ascii="Arial" w:eastAsia="Arial" w:hAnsi="Arial"/>
          <w:color w:val="000000"/>
          <w:sz w:val="24"/>
        </w:rPr>
      </w:pPr>
      <w:hyperlink r:id="rId6">
        <w:r w:rsidR="00ED35B9">
          <w:rPr>
            <w:rFonts w:ascii="Arial" w:eastAsia="Arial" w:hAnsi="Arial"/>
            <w:color w:val="0000FF"/>
            <w:sz w:val="24"/>
            <w:u w:val="single"/>
          </w:rPr>
          <w:t>Email:</w:t>
        </w:r>
      </w:hyperlink>
      <w:r w:rsidR="00ED35B9">
        <w:rPr>
          <w:rFonts w:ascii="Arial" w:eastAsia="Arial" w:hAnsi="Arial"/>
          <w:color w:val="0000FF"/>
          <w:sz w:val="24"/>
          <w:u w:val="single"/>
        </w:rPr>
        <w:t xml:space="preserve"> scott.burns@carlisle.gov.uk</w:t>
      </w:r>
      <w:r w:rsidR="00ED35B9">
        <w:rPr>
          <w:rFonts w:ascii="Arial" w:eastAsia="Arial" w:hAnsi="Arial"/>
          <w:color w:val="000000"/>
          <w:sz w:val="24"/>
        </w:rPr>
        <w:t xml:space="preserve">  The portfolio holder is: Lee Sheriff</w:t>
      </w:r>
    </w:p>
    <w:p w:rsidR="00B17C48" w:rsidRDefault="00ED35B9">
      <w:pPr>
        <w:numPr>
          <w:ilvl w:val="0"/>
          <w:numId w:val="10"/>
        </w:numPr>
        <w:tabs>
          <w:tab w:val="clear" w:pos="288"/>
          <w:tab w:val="left" w:pos="432"/>
        </w:tabs>
        <w:spacing w:before="240" w:line="280" w:lineRule="exact"/>
        <w:ind w:left="144"/>
        <w:textAlignment w:val="baseline"/>
        <w:rPr>
          <w:rFonts w:ascii="Arial" w:eastAsia="Arial" w:hAnsi="Arial"/>
          <w:b/>
          <w:color w:val="000000"/>
          <w:spacing w:val="-2"/>
          <w:sz w:val="24"/>
        </w:rPr>
      </w:pPr>
      <w:r>
        <w:rPr>
          <w:rFonts w:ascii="Arial" w:eastAsia="Arial" w:hAnsi="Arial"/>
          <w:b/>
          <w:color w:val="000000"/>
          <w:spacing w:val="-2"/>
          <w:sz w:val="24"/>
        </w:rPr>
        <w:t>Referrals</w:t>
      </w:r>
    </w:p>
    <w:p w:rsidR="00B17C48" w:rsidRDefault="00ED35B9">
      <w:pPr>
        <w:spacing w:before="200" w:line="317" w:lineRule="exact"/>
        <w:ind w:left="144" w:right="504"/>
        <w:textAlignment w:val="baseline"/>
        <w:rPr>
          <w:rFonts w:ascii="Arial" w:eastAsia="Arial" w:hAnsi="Arial"/>
          <w:color w:val="000000"/>
          <w:spacing w:val="-1"/>
          <w:sz w:val="24"/>
        </w:rPr>
      </w:pPr>
      <w:r>
        <w:rPr>
          <w:rFonts w:ascii="Arial" w:eastAsia="Arial" w:hAnsi="Arial"/>
          <w:color w:val="000000"/>
          <w:spacing w:val="-1"/>
          <w:sz w:val="24"/>
        </w:rPr>
        <w:t>Referrals for consideration under ECO Flexible Eligibility can be received by Carlisle City Council via Homelife Carlisle Home Improvement Agency by the following:</w:t>
      </w:r>
    </w:p>
    <w:p w:rsidR="00B17C48" w:rsidRDefault="00ED35B9">
      <w:pPr>
        <w:spacing w:before="239" w:line="279" w:lineRule="exact"/>
        <w:ind w:left="144"/>
        <w:textAlignment w:val="baseline"/>
        <w:rPr>
          <w:rFonts w:ascii="Arial" w:eastAsia="Arial" w:hAnsi="Arial"/>
          <w:color w:val="000000"/>
          <w:sz w:val="24"/>
        </w:rPr>
      </w:pPr>
      <w:r>
        <w:rPr>
          <w:rFonts w:ascii="Arial" w:eastAsia="Arial" w:hAnsi="Arial"/>
          <w:color w:val="000000"/>
          <w:sz w:val="24"/>
        </w:rPr>
        <w:t xml:space="preserve">Tel: 01228 817111 or </w:t>
      </w:r>
      <w:hyperlink r:id="rId7">
        <w:r>
          <w:rPr>
            <w:rFonts w:ascii="Arial" w:eastAsia="Arial" w:hAnsi="Arial"/>
            <w:color w:val="0000FF"/>
            <w:sz w:val="24"/>
            <w:u w:val="single"/>
          </w:rPr>
          <w:t>Email:</w:t>
        </w:r>
      </w:hyperlink>
      <w:r>
        <w:rPr>
          <w:rFonts w:ascii="Arial" w:eastAsia="Arial" w:hAnsi="Arial"/>
          <w:color w:val="0000FF"/>
          <w:sz w:val="24"/>
          <w:u w:val="single"/>
        </w:rPr>
        <w:t xml:space="preserve"> homelife@carlisle.gov.uk</w:t>
      </w:r>
    </w:p>
    <w:p w:rsidR="00B17C48" w:rsidRDefault="00ED35B9">
      <w:pPr>
        <w:spacing w:before="197" w:line="317" w:lineRule="exact"/>
        <w:ind w:left="144" w:right="360"/>
        <w:textAlignment w:val="baseline"/>
        <w:rPr>
          <w:rFonts w:ascii="Arial" w:eastAsia="Arial" w:hAnsi="Arial"/>
          <w:color w:val="000000"/>
          <w:sz w:val="24"/>
        </w:rPr>
      </w:pPr>
      <w:r>
        <w:rPr>
          <w:rFonts w:ascii="Arial" w:eastAsia="Arial" w:hAnsi="Arial"/>
          <w:color w:val="000000"/>
          <w:sz w:val="24"/>
        </w:rPr>
        <w:t>Referrals will also be encouraged from local referral routes and partners as well as by potentially eligible households as identified by approved suppliers.</w:t>
      </w:r>
    </w:p>
    <w:p w:rsidR="00B17C48" w:rsidRDefault="00ED35B9">
      <w:pPr>
        <w:numPr>
          <w:ilvl w:val="0"/>
          <w:numId w:val="10"/>
        </w:numPr>
        <w:tabs>
          <w:tab w:val="clear" w:pos="288"/>
          <w:tab w:val="left" w:pos="432"/>
        </w:tabs>
        <w:spacing w:before="753" w:line="280" w:lineRule="exact"/>
        <w:ind w:left="144"/>
        <w:textAlignment w:val="baseline"/>
        <w:rPr>
          <w:rFonts w:ascii="Arial" w:eastAsia="Arial" w:hAnsi="Arial"/>
          <w:b/>
          <w:color w:val="000000"/>
          <w:sz w:val="24"/>
        </w:rPr>
      </w:pPr>
      <w:r>
        <w:rPr>
          <w:rFonts w:ascii="Arial" w:eastAsia="Arial" w:hAnsi="Arial"/>
          <w:b/>
          <w:color w:val="000000"/>
          <w:sz w:val="24"/>
        </w:rPr>
        <w:t>Evidence, monitoring and reporting</w:t>
      </w:r>
    </w:p>
    <w:p w:rsidR="00B17C48" w:rsidRDefault="00ED35B9">
      <w:pPr>
        <w:spacing w:before="199" w:line="318" w:lineRule="exact"/>
        <w:ind w:left="144" w:right="288"/>
        <w:textAlignment w:val="baseline"/>
        <w:rPr>
          <w:rFonts w:ascii="Arial" w:eastAsia="Arial" w:hAnsi="Arial"/>
          <w:color w:val="000000"/>
          <w:sz w:val="24"/>
        </w:rPr>
      </w:pPr>
      <w:r>
        <w:rPr>
          <w:rFonts w:ascii="Arial" w:eastAsia="Arial" w:hAnsi="Arial"/>
          <w:color w:val="000000"/>
          <w:sz w:val="24"/>
        </w:rPr>
        <w:t>The City Council’s Home Improvement Agency will administer the scheme and identify eligible households via application process. The manager of Regulatory Services will oversee the process of identifying eligible households under flexible eligibility by use of Officer Decision Notices using anonymised data on monthly basis and usual City Council’s decision-making processes.</w:t>
      </w:r>
    </w:p>
    <w:p w:rsidR="00B17C48" w:rsidRDefault="00ED35B9">
      <w:pPr>
        <w:spacing w:before="206" w:line="316" w:lineRule="exact"/>
        <w:ind w:left="144" w:right="144"/>
        <w:textAlignment w:val="baseline"/>
        <w:rPr>
          <w:rFonts w:ascii="Arial" w:eastAsia="Arial" w:hAnsi="Arial"/>
          <w:color w:val="000000"/>
          <w:spacing w:val="-2"/>
          <w:sz w:val="24"/>
        </w:rPr>
      </w:pPr>
      <w:r>
        <w:rPr>
          <w:rFonts w:ascii="Arial" w:eastAsia="Arial" w:hAnsi="Arial"/>
          <w:color w:val="000000"/>
          <w:spacing w:val="-2"/>
          <w:sz w:val="24"/>
        </w:rPr>
        <w:t>The eligibility information will be stored securely in line with the Council’s data protection policy, Information Commissioner’s Office Data sharing Code (legislation) and BEIS guidance. The City Council will issue declarations to its suppliers and/or delivery partner(s) setting out those households that are eligible. The delivery partner(s) will pass this information onto their ECO supplier according to the ECO application process.</w:t>
      </w:r>
    </w:p>
    <w:p w:rsidR="00B17C48" w:rsidRDefault="00ED35B9">
      <w:pPr>
        <w:spacing w:before="234" w:line="279" w:lineRule="exact"/>
        <w:ind w:left="144"/>
        <w:textAlignment w:val="baseline"/>
        <w:rPr>
          <w:rFonts w:ascii="Arial" w:eastAsia="Arial" w:hAnsi="Arial"/>
          <w:color w:val="000000"/>
          <w:sz w:val="24"/>
        </w:rPr>
      </w:pPr>
      <w:r>
        <w:rPr>
          <w:rFonts w:ascii="Arial" w:eastAsia="Arial" w:hAnsi="Arial"/>
          <w:color w:val="000000"/>
          <w:sz w:val="24"/>
        </w:rPr>
        <w:t>The following summarises the information to be collated to confirm eligibility:</w:t>
      </w:r>
    </w:p>
    <w:p w:rsidR="00B17C48" w:rsidRDefault="00ED35B9">
      <w:pPr>
        <w:numPr>
          <w:ilvl w:val="0"/>
          <w:numId w:val="11"/>
        </w:numPr>
        <w:tabs>
          <w:tab w:val="clear" w:pos="432"/>
          <w:tab w:val="left" w:pos="864"/>
        </w:tabs>
        <w:spacing w:before="230" w:line="303" w:lineRule="exact"/>
        <w:ind w:left="432"/>
        <w:textAlignment w:val="baseline"/>
        <w:rPr>
          <w:rFonts w:ascii="Arial" w:eastAsia="Arial" w:hAnsi="Arial"/>
          <w:color w:val="000000"/>
          <w:sz w:val="24"/>
        </w:rPr>
      </w:pPr>
      <w:r>
        <w:rPr>
          <w:rFonts w:ascii="Arial" w:eastAsia="Arial" w:hAnsi="Arial"/>
          <w:color w:val="000000"/>
          <w:sz w:val="24"/>
        </w:rPr>
        <w:t>The EPC if already present</w:t>
      </w:r>
    </w:p>
    <w:p w:rsidR="00B17C48" w:rsidRDefault="00ED35B9">
      <w:pPr>
        <w:numPr>
          <w:ilvl w:val="0"/>
          <w:numId w:val="11"/>
        </w:numPr>
        <w:tabs>
          <w:tab w:val="clear" w:pos="432"/>
          <w:tab w:val="left" w:pos="864"/>
        </w:tabs>
        <w:spacing w:before="33" w:line="303" w:lineRule="exact"/>
        <w:ind w:left="432"/>
        <w:textAlignment w:val="baseline"/>
        <w:rPr>
          <w:rFonts w:ascii="Arial" w:eastAsia="Arial" w:hAnsi="Arial"/>
          <w:color w:val="000000"/>
          <w:sz w:val="24"/>
        </w:rPr>
      </w:pPr>
      <w:r>
        <w:rPr>
          <w:rFonts w:ascii="Arial" w:eastAsia="Arial" w:hAnsi="Arial"/>
          <w:color w:val="000000"/>
          <w:sz w:val="24"/>
        </w:rPr>
        <w:t>Evidence of household income</w:t>
      </w:r>
    </w:p>
    <w:p w:rsidR="00B17C48" w:rsidRDefault="00ED35B9">
      <w:pPr>
        <w:numPr>
          <w:ilvl w:val="0"/>
          <w:numId w:val="11"/>
        </w:numPr>
        <w:tabs>
          <w:tab w:val="clear" w:pos="432"/>
          <w:tab w:val="left" w:pos="864"/>
        </w:tabs>
        <w:spacing w:before="33" w:line="303" w:lineRule="exact"/>
        <w:ind w:left="432"/>
        <w:textAlignment w:val="baseline"/>
        <w:rPr>
          <w:rFonts w:ascii="Arial" w:eastAsia="Arial" w:hAnsi="Arial"/>
          <w:color w:val="000000"/>
          <w:sz w:val="24"/>
        </w:rPr>
      </w:pPr>
      <w:r>
        <w:rPr>
          <w:rFonts w:ascii="Arial" w:eastAsia="Arial" w:hAnsi="Arial"/>
          <w:color w:val="000000"/>
          <w:sz w:val="24"/>
        </w:rPr>
        <w:t>Evidence of health condition / vulnerability</w:t>
      </w:r>
    </w:p>
    <w:p w:rsidR="00B17C48" w:rsidRDefault="00ED35B9">
      <w:pPr>
        <w:spacing w:before="199" w:line="316" w:lineRule="exact"/>
        <w:ind w:left="144" w:right="216"/>
        <w:textAlignment w:val="baseline"/>
        <w:rPr>
          <w:rFonts w:ascii="Arial" w:eastAsia="Arial" w:hAnsi="Arial"/>
          <w:color w:val="000000"/>
          <w:sz w:val="24"/>
        </w:rPr>
      </w:pPr>
      <w:r>
        <w:rPr>
          <w:rFonts w:ascii="Arial" w:eastAsia="Arial" w:hAnsi="Arial"/>
          <w:color w:val="000000"/>
          <w:sz w:val="24"/>
        </w:rPr>
        <w:t>Declarations will include the following information: whether eligibility criteria is low income &amp; vulnerable to the effects of living in a cold home (LIVC) or in fuel poverty (FP) and the proportion of households that met this criteria on any solid wall insulation</w:t>
      </w:r>
    </w:p>
    <w:p w:rsidR="00B17C48" w:rsidRDefault="00B17C48">
      <w:pPr>
        <w:sectPr w:rsidR="00B17C48">
          <w:pgSz w:w="11904" w:h="16843"/>
          <w:pgMar w:top="900" w:right="1294" w:bottom="864" w:left="1006" w:header="720" w:footer="720" w:gutter="0"/>
          <w:cols w:space="720"/>
        </w:sectPr>
      </w:pPr>
    </w:p>
    <w:p w:rsidR="00B17C48" w:rsidRDefault="009A5B47">
      <w:pPr>
        <w:spacing w:line="307" w:lineRule="exact"/>
        <w:ind w:right="216"/>
        <w:textAlignment w:val="baseline"/>
        <w:rPr>
          <w:rFonts w:ascii="Arial" w:eastAsia="Arial" w:hAnsi="Arial"/>
          <w:color w:val="000000"/>
          <w:sz w:val="24"/>
        </w:rPr>
      </w:pPr>
      <w:r>
        <w:lastRenderedPageBreak/>
        <w:pict>
          <v:shape id="_x0000_s1027" type="#_x0000_t202" style="position:absolute;margin-left:514.4pt;margin-top:779.15pt;width:14.7pt;height:13.85pt;z-index:-251656192;mso-wrap-distance-left:0;mso-wrap-distance-right:0;mso-position-horizontal-relative:page;mso-position-vertical-relative:page" filled="f" stroked="f">
            <v:textbox inset="0,0,0,0">
              <w:txbxContent>
                <w:p w:rsidR="00B17C48" w:rsidRDefault="00ED35B9">
                  <w:pPr>
                    <w:spacing w:before="21" w:after="3" w:line="247" w:lineRule="exact"/>
                    <w:textAlignment w:val="baseline"/>
                    <w:rPr>
                      <w:rFonts w:ascii="Calibri" w:eastAsia="Calibri" w:hAnsi="Calibri"/>
                      <w:color w:val="000000"/>
                    </w:rPr>
                  </w:pPr>
                  <w:r>
                    <w:rPr>
                      <w:rFonts w:ascii="Calibri" w:eastAsia="Calibri" w:hAnsi="Calibri"/>
                      <w:color w:val="000000"/>
                    </w:rPr>
                    <w:t>6</w:t>
                  </w:r>
                </w:p>
              </w:txbxContent>
            </v:textbox>
            <w10:wrap type="square" anchorx="page" anchory="page"/>
          </v:shape>
        </w:pict>
      </w:r>
      <w:r w:rsidR="00ED35B9">
        <w:rPr>
          <w:rFonts w:ascii="Arial" w:eastAsia="Arial" w:hAnsi="Arial"/>
          <w:color w:val="000000"/>
          <w:sz w:val="24"/>
        </w:rPr>
        <w:t>projects that include “in-fill”. The application form gives information to applicants on what checks may be carried out and penalties to deter and prevent fraud.</w:t>
      </w:r>
    </w:p>
    <w:p w:rsidR="00B17C48" w:rsidRDefault="00ED35B9">
      <w:pPr>
        <w:spacing w:before="205" w:line="314" w:lineRule="exact"/>
        <w:ind w:right="72"/>
        <w:textAlignment w:val="baseline"/>
        <w:rPr>
          <w:rFonts w:ascii="Arial" w:eastAsia="Arial" w:hAnsi="Arial"/>
          <w:color w:val="000000"/>
          <w:sz w:val="24"/>
        </w:rPr>
      </w:pPr>
      <w:r>
        <w:rPr>
          <w:rFonts w:ascii="Arial" w:eastAsia="Arial" w:hAnsi="Arial"/>
          <w:color w:val="000000"/>
          <w:sz w:val="24"/>
        </w:rPr>
        <w:t>Monitoring of ECO Flexible Eligibility will be carried out using the Home Improvement Agency grants procedure and via secure Case manager database that allows time frames of installations to be logged at each stage.</w:t>
      </w:r>
    </w:p>
    <w:p w:rsidR="00B17C48" w:rsidRDefault="00ED35B9">
      <w:pPr>
        <w:spacing w:before="201" w:line="317" w:lineRule="exact"/>
        <w:textAlignment w:val="baseline"/>
        <w:rPr>
          <w:rFonts w:ascii="Arial" w:eastAsia="Arial" w:hAnsi="Arial"/>
          <w:color w:val="000000"/>
          <w:sz w:val="24"/>
        </w:rPr>
      </w:pPr>
      <w:r>
        <w:rPr>
          <w:rFonts w:ascii="Arial" w:eastAsia="Arial" w:hAnsi="Arial"/>
          <w:color w:val="000000"/>
          <w:sz w:val="24"/>
        </w:rPr>
        <w:t>Home visits will be arranged on a random basis to check quality of works as agreed in the application process. Customer satisfaction will also be monitored by the use of follow-up customer satisfaction questionnaires.</w:t>
      </w:r>
    </w:p>
    <w:p w:rsidR="00B17C48" w:rsidRDefault="00ED35B9">
      <w:pPr>
        <w:spacing w:before="201" w:line="317" w:lineRule="exact"/>
        <w:ind w:right="432"/>
        <w:textAlignment w:val="baseline"/>
        <w:rPr>
          <w:rFonts w:ascii="Arial" w:eastAsia="Arial" w:hAnsi="Arial"/>
          <w:color w:val="000000"/>
          <w:sz w:val="24"/>
        </w:rPr>
      </w:pPr>
      <w:r>
        <w:rPr>
          <w:rFonts w:ascii="Arial" w:eastAsia="Arial" w:hAnsi="Arial"/>
          <w:color w:val="000000"/>
          <w:sz w:val="24"/>
        </w:rPr>
        <w:t>The energy supplier that provides ECO funding is still required to collect evidence required by Ofgem as stated in BEIS guidance documents.</w:t>
      </w:r>
    </w:p>
    <w:p w:rsidR="00B17C48" w:rsidRDefault="00ED35B9">
      <w:pPr>
        <w:spacing w:before="758" w:line="279" w:lineRule="exact"/>
        <w:textAlignment w:val="baseline"/>
        <w:rPr>
          <w:rFonts w:ascii="Arial" w:eastAsia="Arial" w:hAnsi="Arial"/>
          <w:b/>
          <w:color w:val="000000"/>
          <w:sz w:val="24"/>
        </w:rPr>
      </w:pPr>
      <w:r>
        <w:rPr>
          <w:rFonts w:ascii="Arial" w:eastAsia="Arial" w:hAnsi="Arial"/>
          <w:b/>
          <w:color w:val="000000"/>
          <w:sz w:val="24"/>
        </w:rPr>
        <w:t>6. Signature</w:t>
      </w:r>
    </w:p>
    <w:p w:rsidR="00B17C48" w:rsidRDefault="00ED35B9">
      <w:pPr>
        <w:spacing w:before="753" w:line="279" w:lineRule="exact"/>
        <w:textAlignment w:val="baseline"/>
        <w:rPr>
          <w:rFonts w:ascii="Arial" w:eastAsia="Arial" w:hAnsi="Arial"/>
          <w:b/>
          <w:color w:val="000000"/>
          <w:sz w:val="24"/>
        </w:rPr>
      </w:pPr>
      <w:r>
        <w:rPr>
          <w:rFonts w:ascii="Arial" w:eastAsia="Arial" w:hAnsi="Arial"/>
          <w:b/>
          <w:color w:val="000000"/>
          <w:sz w:val="24"/>
        </w:rPr>
        <w:t>Mark Lambert</w:t>
      </w:r>
    </w:p>
    <w:p w:rsidR="00B17C48" w:rsidRDefault="00ED35B9">
      <w:pPr>
        <w:spacing w:before="239" w:line="279" w:lineRule="exact"/>
        <w:textAlignment w:val="baseline"/>
        <w:rPr>
          <w:rFonts w:ascii="Arial" w:eastAsia="Arial" w:hAnsi="Arial"/>
          <w:b/>
          <w:color w:val="000000"/>
          <w:sz w:val="24"/>
        </w:rPr>
      </w:pPr>
      <w:r>
        <w:rPr>
          <w:rFonts w:ascii="Arial" w:eastAsia="Arial" w:hAnsi="Arial"/>
          <w:b/>
          <w:color w:val="000000"/>
          <w:sz w:val="24"/>
        </w:rPr>
        <w:t>Corporate Director of Governance and Regulatory Services</w:t>
      </w:r>
    </w:p>
    <w:p w:rsidR="00B17C48" w:rsidRDefault="00B17C48">
      <w:pPr>
        <w:sectPr w:rsidR="00B17C48">
          <w:pgSz w:w="11904" w:h="16843"/>
          <w:pgMar w:top="900" w:right="1651" w:bottom="587" w:left="1133" w:header="720" w:footer="720" w:gutter="0"/>
          <w:cols w:space="720"/>
        </w:sectPr>
      </w:pPr>
    </w:p>
    <w:p w:rsidR="00B17C48" w:rsidRDefault="009A5B47">
      <w:pPr>
        <w:spacing w:before="18" w:after="231" w:line="276" w:lineRule="exact"/>
        <w:ind w:left="144"/>
        <w:textAlignment w:val="baseline"/>
        <w:rPr>
          <w:rFonts w:ascii="Arial" w:eastAsia="Arial" w:hAnsi="Arial"/>
          <w:b/>
          <w:color w:val="000000"/>
          <w:sz w:val="24"/>
          <w:u w:val="single"/>
        </w:rPr>
      </w:pPr>
      <w:r>
        <w:lastRenderedPageBreak/>
        <w:pict>
          <v:shape id="_x0000_s1026" type="#_x0000_t202" style="position:absolute;left:0;text-align:left;margin-left:514.4pt;margin-top:779.15pt;width:14.7pt;height:13.4pt;z-index:-251655168;mso-wrap-distance-left:0;mso-wrap-distance-right:0;mso-position-horizontal-relative:page;mso-position-vertical-relative:page" filled="f" stroked="f">
            <v:textbox inset="0,0,0,0">
              <w:txbxContent>
                <w:p w:rsidR="00B17C48" w:rsidRDefault="00ED35B9">
                  <w:pPr>
                    <w:spacing w:before="21" w:line="236" w:lineRule="exact"/>
                    <w:textAlignment w:val="baseline"/>
                    <w:rPr>
                      <w:rFonts w:ascii="Calibri" w:eastAsia="Calibri" w:hAnsi="Calibri"/>
                      <w:color w:val="000000"/>
                    </w:rPr>
                  </w:pPr>
                  <w:r>
                    <w:rPr>
                      <w:rFonts w:ascii="Calibri" w:eastAsia="Calibri" w:hAnsi="Calibri"/>
                      <w:color w:val="000000"/>
                    </w:rPr>
                    <w:t>7</w:t>
                  </w:r>
                </w:p>
              </w:txbxContent>
            </v:textbox>
            <w10:wrap type="square" anchorx="page" anchory="page"/>
          </v:shape>
        </w:pict>
      </w:r>
      <w:r w:rsidR="00ED35B9">
        <w:rPr>
          <w:rFonts w:ascii="Arial" w:eastAsia="Arial" w:hAnsi="Arial"/>
          <w:b/>
          <w:color w:val="000000"/>
          <w:sz w:val="24"/>
          <w:u w:val="single"/>
        </w:rPr>
        <w:t>Appendix A</w:t>
      </w:r>
    </w:p>
    <w:tbl>
      <w:tblPr>
        <w:tblW w:w="0" w:type="auto"/>
        <w:tblInd w:w="14" w:type="dxa"/>
        <w:tblLayout w:type="fixed"/>
        <w:tblCellMar>
          <w:left w:w="0" w:type="dxa"/>
          <w:right w:w="0" w:type="dxa"/>
        </w:tblCellMar>
        <w:tblLook w:val="0000" w:firstRow="0" w:lastRow="0" w:firstColumn="0" w:lastColumn="0" w:noHBand="0" w:noVBand="0"/>
      </w:tblPr>
      <w:tblGrid>
        <w:gridCol w:w="3197"/>
        <w:gridCol w:w="3187"/>
        <w:gridCol w:w="3192"/>
      </w:tblGrid>
      <w:tr w:rsidR="00B17C48">
        <w:trPr>
          <w:trHeight w:hRule="exact" w:val="542"/>
        </w:trPr>
        <w:tc>
          <w:tcPr>
            <w:tcW w:w="3197" w:type="dxa"/>
            <w:tcBorders>
              <w:top w:val="single" w:sz="4" w:space="0" w:color="000000"/>
              <w:left w:val="single" w:sz="4" w:space="0" w:color="000000"/>
              <w:bottom w:val="single" w:sz="13" w:space="0" w:color="000000"/>
              <w:right w:val="single" w:sz="4" w:space="0" w:color="000000"/>
            </w:tcBorders>
            <w:shd w:val="clear" w:color="F3F3F3" w:fill="F3F3F3"/>
          </w:tcPr>
          <w:p w:rsidR="00B17C48" w:rsidRDefault="00ED35B9">
            <w:pPr>
              <w:spacing w:after="232" w:line="280" w:lineRule="exact"/>
              <w:ind w:left="111"/>
              <w:textAlignment w:val="baseline"/>
              <w:rPr>
                <w:rFonts w:ascii="Arial" w:eastAsia="Arial" w:hAnsi="Arial"/>
                <w:color w:val="000000"/>
                <w:sz w:val="24"/>
              </w:rPr>
            </w:pPr>
            <w:r>
              <w:rPr>
                <w:rFonts w:ascii="Arial" w:eastAsia="Arial" w:hAnsi="Arial"/>
                <w:color w:val="000000"/>
                <w:sz w:val="24"/>
              </w:rPr>
              <w:t>Question</w:t>
            </w:r>
          </w:p>
        </w:tc>
        <w:tc>
          <w:tcPr>
            <w:tcW w:w="3187" w:type="dxa"/>
            <w:tcBorders>
              <w:top w:val="single" w:sz="4" w:space="0" w:color="000000"/>
              <w:left w:val="single" w:sz="4" w:space="0" w:color="000000"/>
              <w:bottom w:val="single" w:sz="13" w:space="0" w:color="000000"/>
              <w:right w:val="single" w:sz="4" w:space="0" w:color="000000"/>
            </w:tcBorders>
            <w:shd w:val="clear" w:color="F3F3F3" w:fill="F3F3F3"/>
          </w:tcPr>
          <w:p w:rsidR="00B17C48" w:rsidRDefault="00ED35B9">
            <w:pPr>
              <w:spacing w:after="232" w:line="280" w:lineRule="exact"/>
              <w:ind w:left="111"/>
              <w:textAlignment w:val="baseline"/>
              <w:rPr>
                <w:rFonts w:ascii="Arial" w:eastAsia="Arial" w:hAnsi="Arial"/>
                <w:color w:val="000000"/>
                <w:sz w:val="24"/>
              </w:rPr>
            </w:pPr>
            <w:r>
              <w:rPr>
                <w:rFonts w:ascii="Arial" w:eastAsia="Arial" w:hAnsi="Arial"/>
                <w:color w:val="000000"/>
                <w:sz w:val="24"/>
              </w:rPr>
              <w:t>Response</w:t>
            </w:r>
          </w:p>
        </w:tc>
        <w:tc>
          <w:tcPr>
            <w:tcW w:w="3192" w:type="dxa"/>
            <w:tcBorders>
              <w:top w:val="single" w:sz="4" w:space="0" w:color="000000"/>
              <w:left w:val="single" w:sz="4" w:space="0" w:color="000000"/>
              <w:bottom w:val="single" w:sz="13" w:space="0" w:color="000000"/>
              <w:right w:val="single" w:sz="4" w:space="0" w:color="000000"/>
            </w:tcBorders>
            <w:shd w:val="clear" w:color="F3F3F3" w:fill="F3F3F3"/>
          </w:tcPr>
          <w:p w:rsidR="00B17C48" w:rsidRDefault="00ED35B9">
            <w:pPr>
              <w:spacing w:after="232" w:line="280" w:lineRule="exact"/>
              <w:ind w:left="116"/>
              <w:textAlignment w:val="baseline"/>
              <w:rPr>
                <w:rFonts w:ascii="Arial" w:eastAsia="Arial" w:hAnsi="Arial"/>
                <w:color w:val="000000"/>
                <w:sz w:val="24"/>
              </w:rPr>
            </w:pPr>
            <w:r>
              <w:rPr>
                <w:rFonts w:ascii="Arial" w:eastAsia="Arial" w:hAnsi="Arial"/>
                <w:color w:val="000000"/>
                <w:sz w:val="24"/>
              </w:rPr>
              <w:t>Score</w:t>
            </w:r>
          </w:p>
        </w:tc>
      </w:tr>
      <w:tr w:rsidR="00B17C48">
        <w:trPr>
          <w:trHeight w:hRule="exact" w:val="538"/>
        </w:trPr>
        <w:tc>
          <w:tcPr>
            <w:tcW w:w="3197" w:type="dxa"/>
            <w:vMerge w:val="restart"/>
            <w:tcBorders>
              <w:top w:val="single" w:sz="13" w:space="0" w:color="000000"/>
              <w:left w:val="single" w:sz="4" w:space="0" w:color="000000"/>
              <w:bottom w:val="single" w:sz="0" w:space="0" w:color="000000"/>
              <w:right w:val="single" w:sz="4" w:space="0" w:color="000000"/>
            </w:tcBorders>
          </w:tcPr>
          <w:p w:rsidR="00B17C48" w:rsidRDefault="00ED35B9">
            <w:pPr>
              <w:spacing w:before="503" w:after="1519" w:line="316" w:lineRule="exact"/>
              <w:ind w:left="108"/>
              <w:textAlignment w:val="baseline"/>
              <w:rPr>
                <w:rFonts w:ascii="Arial" w:eastAsia="Arial" w:hAnsi="Arial"/>
                <w:color w:val="000000"/>
                <w:sz w:val="24"/>
              </w:rPr>
            </w:pPr>
            <w:r>
              <w:rPr>
                <w:rFonts w:ascii="Arial" w:eastAsia="Arial" w:hAnsi="Arial"/>
                <w:color w:val="000000"/>
                <w:sz w:val="24"/>
              </w:rPr>
              <w:t>How many bedrooms are there in your home?</w:t>
            </w:r>
          </w:p>
        </w:tc>
        <w:tc>
          <w:tcPr>
            <w:tcW w:w="3187" w:type="dxa"/>
            <w:tcBorders>
              <w:top w:val="single" w:sz="13" w:space="0" w:color="000000"/>
              <w:left w:val="single" w:sz="4" w:space="0" w:color="000000"/>
              <w:bottom w:val="single" w:sz="4" w:space="0" w:color="000000"/>
              <w:right w:val="single" w:sz="4" w:space="0" w:color="000000"/>
            </w:tcBorders>
          </w:tcPr>
          <w:p w:rsidR="00B17C48" w:rsidRDefault="00ED35B9">
            <w:pPr>
              <w:spacing w:after="232" w:line="280" w:lineRule="exact"/>
              <w:ind w:left="111"/>
              <w:textAlignment w:val="baseline"/>
              <w:rPr>
                <w:rFonts w:ascii="Arial" w:eastAsia="Arial" w:hAnsi="Arial"/>
                <w:color w:val="000000"/>
                <w:sz w:val="24"/>
              </w:rPr>
            </w:pPr>
            <w:r>
              <w:rPr>
                <w:rFonts w:ascii="Arial" w:eastAsia="Arial" w:hAnsi="Arial"/>
                <w:color w:val="000000"/>
                <w:sz w:val="24"/>
              </w:rPr>
              <w:t>1</w:t>
            </w:r>
          </w:p>
        </w:tc>
        <w:tc>
          <w:tcPr>
            <w:tcW w:w="3192" w:type="dxa"/>
            <w:tcBorders>
              <w:top w:val="single" w:sz="13" w:space="0" w:color="000000"/>
              <w:left w:val="single" w:sz="4" w:space="0" w:color="000000"/>
              <w:bottom w:val="single" w:sz="4" w:space="0" w:color="000000"/>
              <w:right w:val="single" w:sz="4" w:space="0" w:color="000000"/>
            </w:tcBorders>
          </w:tcPr>
          <w:p w:rsidR="00B17C48" w:rsidRDefault="00ED35B9">
            <w:pPr>
              <w:spacing w:after="232" w:line="280" w:lineRule="exact"/>
              <w:ind w:left="116"/>
              <w:textAlignment w:val="baseline"/>
              <w:rPr>
                <w:rFonts w:ascii="Arial" w:eastAsia="Arial" w:hAnsi="Arial"/>
                <w:color w:val="000000"/>
                <w:sz w:val="24"/>
              </w:rPr>
            </w:pPr>
            <w:r>
              <w:rPr>
                <w:rFonts w:ascii="Arial" w:eastAsia="Arial" w:hAnsi="Arial"/>
                <w:color w:val="000000"/>
                <w:sz w:val="24"/>
              </w:rPr>
              <w:t>0</w:t>
            </w:r>
          </w:p>
        </w:tc>
      </w:tr>
      <w:tr w:rsidR="00B17C48">
        <w:trPr>
          <w:trHeight w:hRule="exact" w:val="528"/>
        </w:trPr>
        <w:tc>
          <w:tcPr>
            <w:tcW w:w="3197" w:type="dxa"/>
            <w:vMerge/>
            <w:tcBorders>
              <w:top w:val="single" w:sz="0" w:space="0" w:color="000000"/>
              <w:left w:val="single" w:sz="4" w:space="0" w:color="000000"/>
              <w:bottom w:val="single" w:sz="0" w:space="0" w:color="000000"/>
              <w:right w:val="single" w:sz="4" w:space="0" w:color="000000"/>
            </w:tcBorders>
          </w:tcPr>
          <w:p w:rsidR="00B17C48" w:rsidRDefault="00B17C48"/>
        </w:tc>
        <w:tc>
          <w:tcPr>
            <w:tcW w:w="3187" w:type="dxa"/>
            <w:tcBorders>
              <w:top w:val="single" w:sz="4" w:space="0" w:color="000000"/>
              <w:left w:val="single" w:sz="4" w:space="0" w:color="000000"/>
              <w:bottom w:val="single" w:sz="4" w:space="0" w:color="000000"/>
              <w:right w:val="single" w:sz="4" w:space="0" w:color="000000"/>
            </w:tcBorders>
          </w:tcPr>
          <w:p w:rsidR="00B17C48" w:rsidRDefault="00ED35B9">
            <w:pPr>
              <w:spacing w:after="228" w:line="280" w:lineRule="exact"/>
              <w:ind w:left="111"/>
              <w:textAlignment w:val="baseline"/>
              <w:rPr>
                <w:rFonts w:ascii="Arial" w:eastAsia="Arial" w:hAnsi="Arial"/>
                <w:color w:val="000000"/>
                <w:sz w:val="24"/>
              </w:rPr>
            </w:pPr>
            <w:r>
              <w:rPr>
                <w:rFonts w:ascii="Arial" w:eastAsia="Arial" w:hAnsi="Arial"/>
                <w:color w:val="000000"/>
                <w:sz w:val="24"/>
              </w:rPr>
              <w:t>2</w:t>
            </w:r>
          </w:p>
        </w:tc>
        <w:tc>
          <w:tcPr>
            <w:tcW w:w="3192" w:type="dxa"/>
            <w:tcBorders>
              <w:top w:val="single" w:sz="4" w:space="0" w:color="000000"/>
              <w:left w:val="single" w:sz="4" w:space="0" w:color="000000"/>
              <w:bottom w:val="single" w:sz="4" w:space="0" w:color="000000"/>
              <w:right w:val="single" w:sz="4" w:space="0" w:color="000000"/>
            </w:tcBorders>
          </w:tcPr>
          <w:p w:rsidR="00B17C48" w:rsidRDefault="00ED35B9">
            <w:pPr>
              <w:spacing w:after="228" w:line="280" w:lineRule="exact"/>
              <w:ind w:left="116"/>
              <w:textAlignment w:val="baseline"/>
              <w:rPr>
                <w:rFonts w:ascii="Arial" w:eastAsia="Arial" w:hAnsi="Arial"/>
                <w:color w:val="000000"/>
                <w:sz w:val="24"/>
              </w:rPr>
            </w:pPr>
            <w:r>
              <w:rPr>
                <w:rFonts w:ascii="Arial" w:eastAsia="Arial" w:hAnsi="Arial"/>
                <w:color w:val="000000"/>
                <w:sz w:val="24"/>
              </w:rPr>
              <w:t>10</w:t>
            </w:r>
          </w:p>
        </w:tc>
      </w:tr>
      <w:tr w:rsidR="00B17C48">
        <w:trPr>
          <w:trHeight w:hRule="exact" w:val="528"/>
        </w:trPr>
        <w:tc>
          <w:tcPr>
            <w:tcW w:w="3197" w:type="dxa"/>
            <w:vMerge/>
            <w:tcBorders>
              <w:top w:val="single" w:sz="0" w:space="0" w:color="000000"/>
              <w:left w:val="single" w:sz="4" w:space="0" w:color="000000"/>
              <w:bottom w:val="single" w:sz="0" w:space="0" w:color="000000"/>
              <w:right w:val="single" w:sz="4" w:space="0" w:color="000000"/>
            </w:tcBorders>
          </w:tcPr>
          <w:p w:rsidR="00B17C48" w:rsidRDefault="00B17C48"/>
        </w:tc>
        <w:tc>
          <w:tcPr>
            <w:tcW w:w="3187" w:type="dxa"/>
            <w:tcBorders>
              <w:top w:val="single" w:sz="4" w:space="0" w:color="000000"/>
              <w:left w:val="single" w:sz="4" w:space="0" w:color="000000"/>
              <w:bottom w:val="single" w:sz="4" w:space="0" w:color="000000"/>
              <w:right w:val="single" w:sz="4" w:space="0" w:color="000000"/>
            </w:tcBorders>
          </w:tcPr>
          <w:p w:rsidR="00B17C48" w:rsidRDefault="00ED35B9">
            <w:pPr>
              <w:spacing w:after="232" w:line="280" w:lineRule="exact"/>
              <w:ind w:left="111"/>
              <w:textAlignment w:val="baseline"/>
              <w:rPr>
                <w:rFonts w:ascii="Arial" w:eastAsia="Arial" w:hAnsi="Arial"/>
                <w:color w:val="000000"/>
                <w:sz w:val="24"/>
              </w:rPr>
            </w:pPr>
            <w:r>
              <w:rPr>
                <w:rFonts w:ascii="Arial" w:eastAsia="Arial" w:hAnsi="Arial"/>
                <w:color w:val="000000"/>
                <w:sz w:val="24"/>
              </w:rPr>
              <w:t>3</w:t>
            </w:r>
          </w:p>
        </w:tc>
        <w:tc>
          <w:tcPr>
            <w:tcW w:w="3192" w:type="dxa"/>
            <w:tcBorders>
              <w:top w:val="single" w:sz="4" w:space="0" w:color="000000"/>
              <w:left w:val="single" w:sz="4" w:space="0" w:color="000000"/>
              <w:bottom w:val="single" w:sz="4" w:space="0" w:color="000000"/>
              <w:right w:val="single" w:sz="4" w:space="0" w:color="000000"/>
            </w:tcBorders>
          </w:tcPr>
          <w:p w:rsidR="00B17C48" w:rsidRDefault="00ED35B9">
            <w:pPr>
              <w:spacing w:after="232" w:line="280" w:lineRule="exact"/>
              <w:ind w:left="116"/>
              <w:textAlignment w:val="baseline"/>
              <w:rPr>
                <w:rFonts w:ascii="Arial" w:eastAsia="Arial" w:hAnsi="Arial"/>
                <w:color w:val="000000"/>
                <w:sz w:val="24"/>
              </w:rPr>
            </w:pPr>
            <w:r>
              <w:rPr>
                <w:rFonts w:ascii="Arial" w:eastAsia="Arial" w:hAnsi="Arial"/>
                <w:color w:val="000000"/>
                <w:sz w:val="24"/>
              </w:rPr>
              <w:t>17</w:t>
            </w:r>
          </w:p>
        </w:tc>
      </w:tr>
      <w:tr w:rsidR="00B17C48">
        <w:trPr>
          <w:trHeight w:hRule="exact" w:val="528"/>
        </w:trPr>
        <w:tc>
          <w:tcPr>
            <w:tcW w:w="3197" w:type="dxa"/>
            <w:vMerge/>
            <w:tcBorders>
              <w:top w:val="single" w:sz="0" w:space="0" w:color="000000"/>
              <w:left w:val="single" w:sz="4" w:space="0" w:color="000000"/>
              <w:bottom w:val="single" w:sz="0" w:space="0" w:color="000000"/>
              <w:right w:val="single" w:sz="4" w:space="0" w:color="000000"/>
            </w:tcBorders>
          </w:tcPr>
          <w:p w:rsidR="00B17C48" w:rsidRDefault="00B17C48"/>
        </w:tc>
        <w:tc>
          <w:tcPr>
            <w:tcW w:w="3187" w:type="dxa"/>
            <w:tcBorders>
              <w:top w:val="single" w:sz="4" w:space="0" w:color="000000"/>
              <w:left w:val="single" w:sz="4" w:space="0" w:color="000000"/>
              <w:bottom w:val="single" w:sz="4" w:space="0" w:color="000000"/>
              <w:right w:val="single" w:sz="4" w:space="0" w:color="000000"/>
            </w:tcBorders>
          </w:tcPr>
          <w:p w:rsidR="00B17C48" w:rsidRDefault="00ED35B9">
            <w:pPr>
              <w:spacing w:after="237" w:line="280" w:lineRule="exact"/>
              <w:ind w:left="111"/>
              <w:textAlignment w:val="baseline"/>
              <w:rPr>
                <w:rFonts w:ascii="Arial" w:eastAsia="Arial" w:hAnsi="Arial"/>
                <w:color w:val="000000"/>
                <w:sz w:val="24"/>
              </w:rPr>
            </w:pPr>
            <w:r>
              <w:rPr>
                <w:rFonts w:ascii="Arial" w:eastAsia="Arial" w:hAnsi="Arial"/>
                <w:color w:val="000000"/>
                <w:sz w:val="24"/>
              </w:rPr>
              <w:t>4</w:t>
            </w:r>
          </w:p>
        </w:tc>
        <w:tc>
          <w:tcPr>
            <w:tcW w:w="3192" w:type="dxa"/>
            <w:tcBorders>
              <w:top w:val="single" w:sz="4" w:space="0" w:color="000000"/>
              <w:left w:val="single" w:sz="4" w:space="0" w:color="000000"/>
              <w:bottom w:val="single" w:sz="4" w:space="0" w:color="000000"/>
              <w:right w:val="single" w:sz="4" w:space="0" w:color="000000"/>
            </w:tcBorders>
          </w:tcPr>
          <w:p w:rsidR="00B17C48" w:rsidRDefault="00ED35B9">
            <w:pPr>
              <w:spacing w:after="237" w:line="280" w:lineRule="exact"/>
              <w:ind w:left="116"/>
              <w:textAlignment w:val="baseline"/>
              <w:rPr>
                <w:rFonts w:ascii="Arial" w:eastAsia="Arial" w:hAnsi="Arial"/>
                <w:color w:val="000000"/>
                <w:sz w:val="24"/>
              </w:rPr>
            </w:pPr>
            <w:r>
              <w:rPr>
                <w:rFonts w:ascii="Arial" w:eastAsia="Arial" w:hAnsi="Arial"/>
                <w:color w:val="000000"/>
                <w:sz w:val="24"/>
              </w:rPr>
              <w:t>27</w:t>
            </w:r>
          </w:p>
        </w:tc>
      </w:tr>
      <w:tr w:rsidR="00B17C48">
        <w:trPr>
          <w:trHeight w:hRule="exact" w:val="533"/>
        </w:trPr>
        <w:tc>
          <w:tcPr>
            <w:tcW w:w="3197" w:type="dxa"/>
            <w:vMerge/>
            <w:tcBorders>
              <w:top w:val="single" w:sz="0" w:space="0" w:color="000000"/>
              <w:left w:val="single" w:sz="4" w:space="0" w:color="000000"/>
              <w:bottom w:val="single" w:sz="13" w:space="0" w:color="000000"/>
              <w:right w:val="single" w:sz="4" w:space="0" w:color="000000"/>
            </w:tcBorders>
          </w:tcPr>
          <w:p w:rsidR="00B17C48" w:rsidRDefault="00B17C48"/>
        </w:tc>
        <w:tc>
          <w:tcPr>
            <w:tcW w:w="3187" w:type="dxa"/>
            <w:tcBorders>
              <w:top w:val="single" w:sz="4" w:space="0" w:color="000000"/>
              <w:left w:val="single" w:sz="4" w:space="0" w:color="000000"/>
              <w:bottom w:val="single" w:sz="13" w:space="0" w:color="000000"/>
              <w:right w:val="single" w:sz="4" w:space="0" w:color="000000"/>
            </w:tcBorders>
          </w:tcPr>
          <w:p w:rsidR="00B17C48" w:rsidRDefault="00ED35B9">
            <w:pPr>
              <w:spacing w:after="242" w:line="280" w:lineRule="exact"/>
              <w:ind w:left="111"/>
              <w:textAlignment w:val="baseline"/>
              <w:rPr>
                <w:rFonts w:ascii="Arial" w:eastAsia="Arial" w:hAnsi="Arial"/>
                <w:color w:val="000000"/>
                <w:sz w:val="24"/>
              </w:rPr>
            </w:pPr>
            <w:r>
              <w:rPr>
                <w:rFonts w:ascii="Arial" w:eastAsia="Arial" w:hAnsi="Arial"/>
                <w:color w:val="000000"/>
                <w:sz w:val="24"/>
              </w:rPr>
              <w:t>5+</w:t>
            </w:r>
          </w:p>
        </w:tc>
        <w:tc>
          <w:tcPr>
            <w:tcW w:w="3192" w:type="dxa"/>
            <w:tcBorders>
              <w:top w:val="single" w:sz="4" w:space="0" w:color="000000"/>
              <w:left w:val="single" w:sz="4" w:space="0" w:color="000000"/>
              <w:bottom w:val="single" w:sz="13" w:space="0" w:color="000000"/>
              <w:right w:val="single" w:sz="4" w:space="0" w:color="000000"/>
            </w:tcBorders>
          </w:tcPr>
          <w:p w:rsidR="00B17C48" w:rsidRDefault="00ED35B9">
            <w:pPr>
              <w:spacing w:after="242" w:line="280" w:lineRule="exact"/>
              <w:ind w:left="116"/>
              <w:textAlignment w:val="baseline"/>
              <w:rPr>
                <w:rFonts w:ascii="Arial" w:eastAsia="Arial" w:hAnsi="Arial"/>
                <w:color w:val="000000"/>
                <w:sz w:val="24"/>
              </w:rPr>
            </w:pPr>
            <w:r>
              <w:rPr>
                <w:rFonts w:ascii="Arial" w:eastAsia="Arial" w:hAnsi="Arial"/>
                <w:color w:val="000000"/>
                <w:sz w:val="24"/>
              </w:rPr>
              <w:t>36</w:t>
            </w:r>
          </w:p>
        </w:tc>
      </w:tr>
      <w:tr w:rsidR="00B17C48">
        <w:trPr>
          <w:trHeight w:hRule="exact" w:val="537"/>
        </w:trPr>
        <w:tc>
          <w:tcPr>
            <w:tcW w:w="3197" w:type="dxa"/>
            <w:vMerge w:val="restart"/>
            <w:tcBorders>
              <w:top w:val="single" w:sz="13" w:space="0" w:color="000000"/>
              <w:left w:val="single" w:sz="4" w:space="0" w:color="000000"/>
              <w:bottom w:val="single" w:sz="0" w:space="0" w:color="000000"/>
              <w:right w:val="single" w:sz="4" w:space="0" w:color="000000"/>
            </w:tcBorders>
          </w:tcPr>
          <w:p w:rsidR="00B17C48" w:rsidRDefault="00ED35B9">
            <w:pPr>
              <w:spacing w:after="247" w:line="409" w:lineRule="exact"/>
              <w:ind w:left="108"/>
              <w:textAlignment w:val="baseline"/>
              <w:rPr>
                <w:rFonts w:ascii="Arial" w:eastAsia="Arial" w:hAnsi="Arial"/>
                <w:color w:val="000000"/>
                <w:sz w:val="24"/>
              </w:rPr>
            </w:pPr>
            <w:r>
              <w:rPr>
                <w:rFonts w:ascii="Arial" w:eastAsia="Arial" w:hAnsi="Arial"/>
                <w:color w:val="000000"/>
                <w:sz w:val="24"/>
              </w:rPr>
              <w:t>Are energy payments made By direct debit?</w:t>
            </w:r>
          </w:p>
        </w:tc>
        <w:tc>
          <w:tcPr>
            <w:tcW w:w="3187" w:type="dxa"/>
            <w:tcBorders>
              <w:top w:val="single" w:sz="13" w:space="0" w:color="000000"/>
              <w:left w:val="single" w:sz="4" w:space="0" w:color="000000"/>
              <w:bottom w:val="single" w:sz="4" w:space="0" w:color="000000"/>
              <w:right w:val="single" w:sz="4" w:space="0" w:color="000000"/>
            </w:tcBorders>
          </w:tcPr>
          <w:p w:rsidR="00B17C48" w:rsidRDefault="00ED35B9">
            <w:pPr>
              <w:spacing w:after="228" w:line="280" w:lineRule="exact"/>
              <w:ind w:left="111"/>
              <w:textAlignment w:val="baseline"/>
              <w:rPr>
                <w:rFonts w:ascii="Arial" w:eastAsia="Arial" w:hAnsi="Arial"/>
                <w:color w:val="000000"/>
                <w:sz w:val="24"/>
              </w:rPr>
            </w:pPr>
            <w:r>
              <w:rPr>
                <w:rFonts w:ascii="Arial" w:eastAsia="Arial" w:hAnsi="Arial"/>
                <w:color w:val="000000"/>
                <w:sz w:val="24"/>
              </w:rPr>
              <w:t>Yes</w:t>
            </w:r>
          </w:p>
        </w:tc>
        <w:tc>
          <w:tcPr>
            <w:tcW w:w="3192" w:type="dxa"/>
            <w:tcBorders>
              <w:top w:val="single" w:sz="13" w:space="0" w:color="000000"/>
              <w:left w:val="single" w:sz="4" w:space="0" w:color="000000"/>
              <w:bottom w:val="single" w:sz="4" w:space="0" w:color="000000"/>
              <w:right w:val="single" w:sz="4" w:space="0" w:color="000000"/>
            </w:tcBorders>
          </w:tcPr>
          <w:p w:rsidR="00B17C48" w:rsidRDefault="00ED35B9">
            <w:pPr>
              <w:spacing w:after="228" w:line="280" w:lineRule="exact"/>
              <w:ind w:left="116"/>
              <w:textAlignment w:val="baseline"/>
              <w:rPr>
                <w:rFonts w:ascii="Arial" w:eastAsia="Arial" w:hAnsi="Arial"/>
                <w:color w:val="000000"/>
                <w:sz w:val="24"/>
              </w:rPr>
            </w:pPr>
            <w:r>
              <w:rPr>
                <w:rFonts w:ascii="Arial" w:eastAsia="Arial" w:hAnsi="Arial"/>
                <w:color w:val="000000"/>
                <w:sz w:val="24"/>
              </w:rPr>
              <w:t>-7</w:t>
            </w:r>
          </w:p>
        </w:tc>
      </w:tr>
      <w:tr w:rsidR="00B17C48">
        <w:trPr>
          <w:trHeight w:hRule="exact" w:val="538"/>
        </w:trPr>
        <w:tc>
          <w:tcPr>
            <w:tcW w:w="3197" w:type="dxa"/>
            <w:vMerge/>
            <w:tcBorders>
              <w:top w:val="single" w:sz="0" w:space="0" w:color="000000"/>
              <w:left w:val="single" w:sz="4" w:space="0" w:color="000000"/>
              <w:bottom w:val="single" w:sz="13" w:space="0" w:color="000000"/>
              <w:right w:val="single" w:sz="4" w:space="0" w:color="000000"/>
            </w:tcBorders>
          </w:tcPr>
          <w:p w:rsidR="00B17C48" w:rsidRDefault="00B17C48"/>
        </w:tc>
        <w:tc>
          <w:tcPr>
            <w:tcW w:w="3187" w:type="dxa"/>
            <w:tcBorders>
              <w:top w:val="single" w:sz="4" w:space="0" w:color="000000"/>
              <w:left w:val="single" w:sz="4" w:space="0" w:color="000000"/>
              <w:bottom w:val="single" w:sz="13" w:space="0" w:color="000000"/>
              <w:right w:val="single" w:sz="4" w:space="0" w:color="000000"/>
            </w:tcBorders>
          </w:tcPr>
          <w:p w:rsidR="00B17C48" w:rsidRDefault="00ED35B9">
            <w:pPr>
              <w:spacing w:after="237" w:line="280" w:lineRule="exact"/>
              <w:ind w:left="111"/>
              <w:textAlignment w:val="baseline"/>
              <w:rPr>
                <w:rFonts w:ascii="Arial" w:eastAsia="Arial" w:hAnsi="Arial"/>
                <w:color w:val="000000"/>
                <w:sz w:val="24"/>
              </w:rPr>
            </w:pPr>
            <w:r>
              <w:rPr>
                <w:rFonts w:ascii="Arial" w:eastAsia="Arial" w:hAnsi="Arial"/>
                <w:color w:val="000000"/>
                <w:sz w:val="24"/>
              </w:rPr>
              <w:t>No</w:t>
            </w:r>
          </w:p>
        </w:tc>
        <w:tc>
          <w:tcPr>
            <w:tcW w:w="3192" w:type="dxa"/>
            <w:tcBorders>
              <w:top w:val="single" w:sz="4" w:space="0" w:color="000000"/>
              <w:left w:val="single" w:sz="4" w:space="0" w:color="000000"/>
              <w:bottom w:val="single" w:sz="13" w:space="0" w:color="000000"/>
              <w:right w:val="single" w:sz="4" w:space="0" w:color="000000"/>
            </w:tcBorders>
          </w:tcPr>
          <w:p w:rsidR="00B17C48" w:rsidRDefault="00ED35B9">
            <w:pPr>
              <w:spacing w:after="237" w:line="280" w:lineRule="exact"/>
              <w:ind w:left="116"/>
              <w:textAlignment w:val="baseline"/>
              <w:rPr>
                <w:rFonts w:ascii="Arial" w:eastAsia="Arial" w:hAnsi="Arial"/>
                <w:color w:val="000000"/>
                <w:sz w:val="24"/>
              </w:rPr>
            </w:pPr>
            <w:r>
              <w:rPr>
                <w:rFonts w:ascii="Arial" w:eastAsia="Arial" w:hAnsi="Arial"/>
                <w:color w:val="000000"/>
                <w:sz w:val="24"/>
              </w:rPr>
              <w:t>0</w:t>
            </w:r>
          </w:p>
        </w:tc>
      </w:tr>
      <w:tr w:rsidR="00B17C48">
        <w:trPr>
          <w:trHeight w:hRule="exact" w:val="538"/>
        </w:trPr>
        <w:tc>
          <w:tcPr>
            <w:tcW w:w="3197" w:type="dxa"/>
            <w:vMerge w:val="restart"/>
            <w:tcBorders>
              <w:top w:val="single" w:sz="13" w:space="0" w:color="000000"/>
              <w:left w:val="single" w:sz="4" w:space="0" w:color="000000"/>
              <w:bottom w:val="single" w:sz="0" w:space="0" w:color="000000"/>
              <w:right w:val="single" w:sz="4" w:space="0" w:color="000000"/>
            </w:tcBorders>
          </w:tcPr>
          <w:p w:rsidR="00B17C48" w:rsidRDefault="00ED35B9">
            <w:pPr>
              <w:spacing w:before="538" w:after="3420" w:line="280" w:lineRule="exact"/>
              <w:ind w:left="111"/>
              <w:textAlignment w:val="baseline"/>
              <w:rPr>
                <w:rFonts w:ascii="Arial" w:eastAsia="Arial" w:hAnsi="Arial"/>
                <w:color w:val="000000"/>
                <w:sz w:val="24"/>
              </w:rPr>
            </w:pPr>
            <w:r>
              <w:rPr>
                <w:rFonts w:ascii="Arial" w:eastAsia="Arial" w:hAnsi="Arial"/>
                <w:color w:val="000000"/>
                <w:sz w:val="24"/>
              </w:rPr>
              <w:t>What type of house is it?</w:t>
            </w:r>
          </w:p>
        </w:tc>
        <w:tc>
          <w:tcPr>
            <w:tcW w:w="3187" w:type="dxa"/>
            <w:tcBorders>
              <w:top w:val="single" w:sz="13" w:space="0" w:color="000000"/>
              <w:left w:val="single" w:sz="4" w:space="0" w:color="000000"/>
              <w:bottom w:val="single" w:sz="4" w:space="0" w:color="000000"/>
              <w:right w:val="single" w:sz="4" w:space="0" w:color="000000"/>
            </w:tcBorders>
          </w:tcPr>
          <w:p w:rsidR="00B17C48" w:rsidRDefault="00ED35B9">
            <w:pPr>
              <w:spacing w:after="232" w:line="280" w:lineRule="exact"/>
              <w:ind w:left="111"/>
              <w:textAlignment w:val="baseline"/>
              <w:rPr>
                <w:rFonts w:ascii="Arial" w:eastAsia="Arial" w:hAnsi="Arial"/>
                <w:color w:val="000000"/>
                <w:sz w:val="24"/>
              </w:rPr>
            </w:pPr>
            <w:r>
              <w:rPr>
                <w:rFonts w:ascii="Arial" w:eastAsia="Arial" w:hAnsi="Arial"/>
                <w:color w:val="000000"/>
                <w:sz w:val="24"/>
              </w:rPr>
              <w:t>Semi-detached</w:t>
            </w:r>
          </w:p>
        </w:tc>
        <w:tc>
          <w:tcPr>
            <w:tcW w:w="3192" w:type="dxa"/>
            <w:tcBorders>
              <w:top w:val="single" w:sz="13" w:space="0" w:color="000000"/>
              <w:left w:val="single" w:sz="4" w:space="0" w:color="000000"/>
              <w:bottom w:val="single" w:sz="4" w:space="0" w:color="000000"/>
              <w:right w:val="single" w:sz="4" w:space="0" w:color="000000"/>
            </w:tcBorders>
          </w:tcPr>
          <w:p w:rsidR="00B17C48" w:rsidRDefault="00ED35B9">
            <w:pPr>
              <w:spacing w:after="232" w:line="280" w:lineRule="exact"/>
              <w:ind w:left="116"/>
              <w:textAlignment w:val="baseline"/>
              <w:rPr>
                <w:rFonts w:ascii="Arial" w:eastAsia="Arial" w:hAnsi="Arial"/>
                <w:color w:val="000000"/>
                <w:sz w:val="24"/>
              </w:rPr>
            </w:pPr>
            <w:r>
              <w:rPr>
                <w:rFonts w:ascii="Arial" w:eastAsia="Arial" w:hAnsi="Arial"/>
                <w:color w:val="000000"/>
                <w:sz w:val="24"/>
              </w:rPr>
              <w:t>-4</w:t>
            </w:r>
          </w:p>
        </w:tc>
      </w:tr>
      <w:tr w:rsidR="00B17C48">
        <w:trPr>
          <w:trHeight w:hRule="exact" w:val="528"/>
        </w:trPr>
        <w:tc>
          <w:tcPr>
            <w:tcW w:w="3197" w:type="dxa"/>
            <w:vMerge/>
            <w:tcBorders>
              <w:top w:val="single" w:sz="0" w:space="0" w:color="000000"/>
              <w:left w:val="single" w:sz="4" w:space="0" w:color="000000"/>
              <w:bottom w:val="single" w:sz="0" w:space="0" w:color="000000"/>
              <w:right w:val="single" w:sz="4" w:space="0" w:color="000000"/>
            </w:tcBorders>
          </w:tcPr>
          <w:p w:rsidR="00B17C48" w:rsidRDefault="00B17C48"/>
        </w:tc>
        <w:tc>
          <w:tcPr>
            <w:tcW w:w="3187" w:type="dxa"/>
            <w:tcBorders>
              <w:top w:val="single" w:sz="4" w:space="0" w:color="000000"/>
              <w:left w:val="single" w:sz="4" w:space="0" w:color="000000"/>
              <w:bottom w:val="single" w:sz="4" w:space="0" w:color="000000"/>
              <w:right w:val="single" w:sz="4" w:space="0" w:color="000000"/>
            </w:tcBorders>
          </w:tcPr>
          <w:p w:rsidR="00B17C48" w:rsidRDefault="00ED35B9">
            <w:pPr>
              <w:spacing w:after="227" w:line="280" w:lineRule="exact"/>
              <w:ind w:left="111"/>
              <w:textAlignment w:val="baseline"/>
              <w:rPr>
                <w:rFonts w:ascii="Arial" w:eastAsia="Arial" w:hAnsi="Arial"/>
                <w:color w:val="000000"/>
                <w:sz w:val="24"/>
              </w:rPr>
            </w:pPr>
            <w:r>
              <w:rPr>
                <w:rFonts w:ascii="Arial" w:eastAsia="Arial" w:hAnsi="Arial"/>
                <w:color w:val="000000"/>
                <w:sz w:val="24"/>
              </w:rPr>
              <w:t>Detached</w:t>
            </w:r>
          </w:p>
        </w:tc>
        <w:tc>
          <w:tcPr>
            <w:tcW w:w="3192" w:type="dxa"/>
            <w:tcBorders>
              <w:top w:val="single" w:sz="4" w:space="0" w:color="000000"/>
              <w:left w:val="single" w:sz="4" w:space="0" w:color="000000"/>
              <w:bottom w:val="single" w:sz="4" w:space="0" w:color="000000"/>
              <w:right w:val="single" w:sz="4" w:space="0" w:color="000000"/>
            </w:tcBorders>
          </w:tcPr>
          <w:p w:rsidR="00B17C48" w:rsidRDefault="00ED35B9">
            <w:pPr>
              <w:spacing w:after="227" w:line="280" w:lineRule="exact"/>
              <w:ind w:left="116"/>
              <w:textAlignment w:val="baseline"/>
              <w:rPr>
                <w:rFonts w:ascii="Arial" w:eastAsia="Arial" w:hAnsi="Arial"/>
                <w:color w:val="000000"/>
                <w:sz w:val="24"/>
              </w:rPr>
            </w:pPr>
            <w:r>
              <w:rPr>
                <w:rFonts w:ascii="Arial" w:eastAsia="Arial" w:hAnsi="Arial"/>
                <w:color w:val="000000"/>
                <w:sz w:val="24"/>
              </w:rPr>
              <w:t>6</w:t>
            </w:r>
          </w:p>
        </w:tc>
      </w:tr>
      <w:tr w:rsidR="00B17C48">
        <w:trPr>
          <w:trHeight w:hRule="exact" w:val="528"/>
        </w:trPr>
        <w:tc>
          <w:tcPr>
            <w:tcW w:w="3197" w:type="dxa"/>
            <w:vMerge/>
            <w:tcBorders>
              <w:top w:val="single" w:sz="0" w:space="0" w:color="000000"/>
              <w:left w:val="single" w:sz="4" w:space="0" w:color="000000"/>
              <w:bottom w:val="single" w:sz="0" w:space="0" w:color="000000"/>
              <w:right w:val="single" w:sz="4" w:space="0" w:color="000000"/>
            </w:tcBorders>
          </w:tcPr>
          <w:p w:rsidR="00B17C48" w:rsidRDefault="00B17C48"/>
        </w:tc>
        <w:tc>
          <w:tcPr>
            <w:tcW w:w="3187" w:type="dxa"/>
            <w:tcBorders>
              <w:top w:val="single" w:sz="4" w:space="0" w:color="000000"/>
              <w:left w:val="single" w:sz="4" w:space="0" w:color="000000"/>
              <w:bottom w:val="single" w:sz="4" w:space="0" w:color="000000"/>
              <w:right w:val="single" w:sz="4" w:space="0" w:color="000000"/>
            </w:tcBorders>
          </w:tcPr>
          <w:p w:rsidR="00B17C48" w:rsidRDefault="00ED35B9">
            <w:pPr>
              <w:spacing w:after="232" w:line="280" w:lineRule="exact"/>
              <w:ind w:left="111"/>
              <w:textAlignment w:val="baseline"/>
              <w:rPr>
                <w:rFonts w:ascii="Arial" w:eastAsia="Arial" w:hAnsi="Arial"/>
                <w:color w:val="000000"/>
                <w:sz w:val="24"/>
              </w:rPr>
            </w:pPr>
            <w:r>
              <w:rPr>
                <w:rFonts w:ascii="Arial" w:eastAsia="Arial" w:hAnsi="Arial"/>
                <w:color w:val="000000"/>
                <w:sz w:val="24"/>
              </w:rPr>
              <w:t>Mid Terrace</w:t>
            </w:r>
          </w:p>
        </w:tc>
        <w:tc>
          <w:tcPr>
            <w:tcW w:w="3192" w:type="dxa"/>
            <w:tcBorders>
              <w:top w:val="single" w:sz="4" w:space="0" w:color="000000"/>
              <w:left w:val="single" w:sz="4" w:space="0" w:color="000000"/>
              <w:bottom w:val="single" w:sz="4" w:space="0" w:color="000000"/>
              <w:right w:val="single" w:sz="4" w:space="0" w:color="000000"/>
            </w:tcBorders>
          </w:tcPr>
          <w:p w:rsidR="00B17C48" w:rsidRDefault="00ED35B9">
            <w:pPr>
              <w:spacing w:after="232" w:line="280" w:lineRule="exact"/>
              <w:ind w:left="116"/>
              <w:textAlignment w:val="baseline"/>
              <w:rPr>
                <w:rFonts w:ascii="Arial" w:eastAsia="Arial" w:hAnsi="Arial"/>
                <w:color w:val="000000"/>
                <w:sz w:val="24"/>
              </w:rPr>
            </w:pPr>
            <w:r>
              <w:rPr>
                <w:rFonts w:ascii="Arial" w:eastAsia="Arial" w:hAnsi="Arial"/>
                <w:color w:val="000000"/>
                <w:sz w:val="24"/>
              </w:rPr>
              <w:t>-10</w:t>
            </w:r>
          </w:p>
        </w:tc>
      </w:tr>
      <w:tr w:rsidR="00B17C48">
        <w:trPr>
          <w:trHeight w:hRule="exact" w:val="528"/>
        </w:trPr>
        <w:tc>
          <w:tcPr>
            <w:tcW w:w="3197" w:type="dxa"/>
            <w:vMerge/>
            <w:tcBorders>
              <w:top w:val="single" w:sz="0" w:space="0" w:color="000000"/>
              <w:left w:val="single" w:sz="4" w:space="0" w:color="000000"/>
              <w:bottom w:val="single" w:sz="0" w:space="0" w:color="000000"/>
              <w:right w:val="single" w:sz="4" w:space="0" w:color="000000"/>
            </w:tcBorders>
          </w:tcPr>
          <w:p w:rsidR="00B17C48" w:rsidRDefault="00B17C48"/>
        </w:tc>
        <w:tc>
          <w:tcPr>
            <w:tcW w:w="3187" w:type="dxa"/>
            <w:tcBorders>
              <w:top w:val="single" w:sz="4" w:space="0" w:color="000000"/>
              <w:left w:val="single" w:sz="4" w:space="0" w:color="000000"/>
              <w:bottom w:val="single" w:sz="4" w:space="0" w:color="000000"/>
              <w:right w:val="single" w:sz="4" w:space="0" w:color="000000"/>
            </w:tcBorders>
          </w:tcPr>
          <w:p w:rsidR="00B17C48" w:rsidRDefault="00ED35B9">
            <w:pPr>
              <w:spacing w:after="237" w:line="280" w:lineRule="exact"/>
              <w:ind w:left="111"/>
              <w:textAlignment w:val="baseline"/>
              <w:rPr>
                <w:rFonts w:ascii="Arial" w:eastAsia="Arial" w:hAnsi="Arial"/>
                <w:color w:val="000000"/>
                <w:sz w:val="24"/>
              </w:rPr>
            </w:pPr>
            <w:r>
              <w:rPr>
                <w:rFonts w:ascii="Arial" w:eastAsia="Arial" w:hAnsi="Arial"/>
                <w:color w:val="000000"/>
                <w:sz w:val="24"/>
              </w:rPr>
              <w:t>End terrace</w:t>
            </w:r>
          </w:p>
        </w:tc>
        <w:tc>
          <w:tcPr>
            <w:tcW w:w="3192" w:type="dxa"/>
            <w:tcBorders>
              <w:top w:val="single" w:sz="4" w:space="0" w:color="000000"/>
              <w:left w:val="single" w:sz="4" w:space="0" w:color="000000"/>
              <w:bottom w:val="single" w:sz="4" w:space="0" w:color="000000"/>
              <w:right w:val="single" w:sz="4" w:space="0" w:color="000000"/>
            </w:tcBorders>
          </w:tcPr>
          <w:p w:rsidR="00B17C48" w:rsidRDefault="00ED35B9">
            <w:pPr>
              <w:spacing w:after="237" w:line="280" w:lineRule="exact"/>
              <w:ind w:left="116"/>
              <w:textAlignment w:val="baseline"/>
              <w:rPr>
                <w:rFonts w:ascii="Arial" w:eastAsia="Arial" w:hAnsi="Arial"/>
                <w:color w:val="000000"/>
                <w:sz w:val="24"/>
              </w:rPr>
            </w:pPr>
            <w:r>
              <w:rPr>
                <w:rFonts w:ascii="Arial" w:eastAsia="Arial" w:hAnsi="Arial"/>
                <w:color w:val="000000"/>
                <w:sz w:val="24"/>
              </w:rPr>
              <w:t>-4</w:t>
            </w:r>
          </w:p>
        </w:tc>
      </w:tr>
      <w:tr w:rsidR="00B17C48">
        <w:trPr>
          <w:trHeight w:hRule="exact" w:val="528"/>
        </w:trPr>
        <w:tc>
          <w:tcPr>
            <w:tcW w:w="3197" w:type="dxa"/>
            <w:vMerge/>
            <w:tcBorders>
              <w:top w:val="single" w:sz="0" w:space="0" w:color="000000"/>
              <w:left w:val="single" w:sz="4" w:space="0" w:color="000000"/>
              <w:bottom w:val="single" w:sz="0" w:space="0" w:color="000000"/>
              <w:right w:val="single" w:sz="4" w:space="0" w:color="000000"/>
            </w:tcBorders>
          </w:tcPr>
          <w:p w:rsidR="00B17C48" w:rsidRDefault="00B17C48"/>
        </w:tc>
        <w:tc>
          <w:tcPr>
            <w:tcW w:w="3187" w:type="dxa"/>
            <w:tcBorders>
              <w:top w:val="single" w:sz="4" w:space="0" w:color="000000"/>
              <w:left w:val="single" w:sz="4" w:space="0" w:color="000000"/>
              <w:bottom w:val="single" w:sz="4" w:space="0" w:color="000000"/>
              <w:right w:val="single" w:sz="4" w:space="0" w:color="000000"/>
            </w:tcBorders>
          </w:tcPr>
          <w:p w:rsidR="00B17C48" w:rsidRDefault="00ED35B9">
            <w:pPr>
              <w:spacing w:after="227" w:line="280" w:lineRule="exact"/>
              <w:ind w:left="111"/>
              <w:textAlignment w:val="baseline"/>
              <w:rPr>
                <w:rFonts w:ascii="Arial" w:eastAsia="Arial" w:hAnsi="Arial"/>
                <w:color w:val="000000"/>
                <w:sz w:val="24"/>
              </w:rPr>
            </w:pPr>
            <w:r>
              <w:rPr>
                <w:rFonts w:ascii="Arial" w:eastAsia="Arial" w:hAnsi="Arial"/>
                <w:color w:val="000000"/>
                <w:sz w:val="24"/>
              </w:rPr>
              <w:t>Converted flat</w:t>
            </w:r>
          </w:p>
        </w:tc>
        <w:tc>
          <w:tcPr>
            <w:tcW w:w="3192" w:type="dxa"/>
            <w:tcBorders>
              <w:top w:val="single" w:sz="4" w:space="0" w:color="000000"/>
              <w:left w:val="single" w:sz="4" w:space="0" w:color="000000"/>
              <w:bottom w:val="single" w:sz="4" w:space="0" w:color="000000"/>
              <w:right w:val="single" w:sz="4" w:space="0" w:color="000000"/>
            </w:tcBorders>
          </w:tcPr>
          <w:p w:rsidR="00B17C48" w:rsidRDefault="00ED35B9">
            <w:pPr>
              <w:spacing w:after="227" w:line="280" w:lineRule="exact"/>
              <w:ind w:left="116"/>
              <w:textAlignment w:val="baseline"/>
              <w:rPr>
                <w:rFonts w:ascii="Arial" w:eastAsia="Arial" w:hAnsi="Arial"/>
                <w:color w:val="000000"/>
                <w:sz w:val="24"/>
              </w:rPr>
            </w:pPr>
            <w:r>
              <w:rPr>
                <w:rFonts w:ascii="Arial" w:eastAsia="Arial" w:hAnsi="Arial"/>
                <w:color w:val="000000"/>
                <w:sz w:val="24"/>
              </w:rPr>
              <w:t>-9</w:t>
            </w:r>
          </w:p>
        </w:tc>
      </w:tr>
      <w:tr w:rsidR="00B17C48">
        <w:trPr>
          <w:trHeight w:hRule="exact" w:val="528"/>
        </w:trPr>
        <w:tc>
          <w:tcPr>
            <w:tcW w:w="3197" w:type="dxa"/>
            <w:vMerge/>
            <w:tcBorders>
              <w:top w:val="single" w:sz="0" w:space="0" w:color="000000"/>
              <w:left w:val="single" w:sz="4" w:space="0" w:color="000000"/>
              <w:bottom w:val="single" w:sz="0" w:space="0" w:color="000000"/>
              <w:right w:val="single" w:sz="4" w:space="0" w:color="000000"/>
            </w:tcBorders>
          </w:tcPr>
          <w:p w:rsidR="00B17C48" w:rsidRDefault="00B17C48"/>
        </w:tc>
        <w:tc>
          <w:tcPr>
            <w:tcW w:w="3187" w:type="dxa"/>
            <w:tcBorders>
              <w:top w:val="single" w:sz="4" w:space="0" w:color="000000"/>
              <w:left w:val="single" w:sz="4" w:space="0" w:color="000000"/>
              <w:bottom w:val="single" w:sz="4" w:space="0" w:color="000000"/>
              <w:right w:val="single" w:sz="4" w:space="0" w:color="000000"/>
            </w:tcBorders>
          </w:tcPr>
          <w:p w:rsidR="00B17C48" w:rsidRDefault="00ED35B9">
            <w:pPr>
              <w:spacing w:after="237" w:line="280" w:lineRule="exact"/>
              <w:ind w:left="111"/>
              <w:textAlignment w:val="baseline"/>
              <w:rPr>
                <w:rFonts w:ascii="Arial" w:eastAsia="Arial" w:hAnsi="Arial"/>
                <w:color w:val="000000"/>
                <w:sz w:val="24"/>
              </w:rPr>
            </w:pPr>
            <w:r>
              <w:rPr>
                <w:rFonts w:ascii="Arial" w:eastAsia="Arial" w:hAnsi="Arial"/>
                <w:color w:val="000000"/>
                <w:sz w:val="24"/>
              </w:rPr>
              <w:t>High rise flat</w:t>
            </w:r>
          </w:p>
        </w:tc>
        <w:tc>
          <w:tcPr>
            <w:tcW w:w="3192" w:type="dxa"/>
            <w:tcBorders>
              <w:top w:val="single" w:sz="4" w:space="0" w:color="000000"/>
              <w:left w:val="single" w:sz="4" w:space="0" w:color="000000"/>
              <w:bottom w:val="single" w:sz="4" w:space="0" w:color="000000"/>
              <w:right w:val="single" w:sz="4" w:space="0" w:color="000000"/>
            </w:tcBorders>
          </w:tcPr>
          <w:p w:rsidR="00B17C48" w:rsidRDefault="00ED35B9">
            <w:pPr>
              <w:spacing w:after="237" w:line="280" w:lineRule="exact"/>
              <w:ind w:left="116"/>
              <w:textAlignment w:val="baseline"/>
              <w:rPr>
                <w:rFonts w:ascii="Arial" w:eastAsia="Arial" w:hAnsi="Arial"/>
                <w:color w:val="000000"/>
                <w:sz w:val="24"/>
              </w:rPr>
            </w:pPr>
            <w:r>
              <w:rPr>
                <w:rFonts w:ascii="Arial" w:eastAsia="Arial" w:hAnsi="Arial"/>
                <w:color w:val="000000"/>
                <w:sz w:val="24"/>
              </w:rPr>
              <w:t>-20</w:t>
            </w:r>
          </w:p>
        </w:tc>
      </w:tr>
      <w:tr w:rsidR="00B17C48">
        <w:trPr>
          <w:trHeight w:hRule="exact" w:val="523"/>
        </w:trPr>
        <w:tc>
          <w:tcPr>
            <w:tcW w:w="3197" w:type="dxa"/>
            <w:vMerge/>
            <w:tcBorders>
              <w:top w:val="single" w:sz="0" w:space="0" w:color="000000"/>
              <w:left w:val="single" w:sz="4" w:space="0" w:color="000000"/>
              <w:bottom w:val="single" w:sz="0" w:space="0" w:color="000000"/>
              <w:right w:val="single" w:sz="4" w:space="0" w:color="000000"/>
            </w:tcBorders>
          </w:tcPr>
          <w:p w:rsidR="00B17C48" w:rsidRDefault="00B17C48"/>
        </w:tc>
        <w:tc>
          <w:tcPr>
            <w:tcW w:w="3187" w:type="dxa"/>
            <w:tcBorders>
              <w:top w:val="single" w:sz="4" w:space="0" w:color="000000"/>
              <w:left w:val="single" w:sz="4" w:space="0" w:color="000000"/>
              <w:bottom w:val="single" w:sz="4" w:space="0" w:color="000000"/>
              <w:right w:val="single" w:sz="4" w:space="0" w:color="000000"/>
            </w:tcBorders>
          </w:tcPr>
          <w:p w:rsidR="00B17C48" w:rsidRDefault="00ED35B9">
            <w:pPr>
              <w:spacing w:after="227" w:line="280" w:lineRule="exact"/>
              <w:ind w:left="111"/>
              <w:textAlignment w:val="baseline"/>
              <w:rPr>
                <w:rFonts w:ascii="Arial" w:eastAsia="Arial" w:hAnsi="Arial"/>
                <w:color w:val="000000"/>
                <w:sz w:val="24"/>
              </w:rPr>
            </w:pPr>
            <w:r>
              <w:rPr>
                <w:rFonts w:ascii="Arial" w:eastAsia="Arial" w:hAnsi="Arial"/>
                <w:color w:val="000000"/>
                <w:sz w:val="24"/>
              </w:rPr>
              <w:t>Low rise flat</w:t>
            </w:r>
          </w:p>
        </w:tc>
        <w:tc>
          <w:tcPr>
            <w:tcW w:w="3192" w:type="dxa"/>
            <w:tcBorders>
              <w:top w:val="single" w:sz="4" w:space="0" w:color="000000"/>
              <w:left w:val="single" w:sz="4" w:space="0" w:color="000000"/>
              <w:bottom w:val="single" w:sz="4" w:space="0" w:color="000000"/>
              <w:right w:val="single" w:sz="4" w:space="0" w:color="000000"/>
            </w:tcBorders>
          </w:tcPr>
          <w:p w:rsidR="00B17C48" w:rsidRDefault="00ED35B9">
            <w:pPr>
              <w:spacing w:after="227" w:line="280" w:lineRule="exact"/>
              <w:ind w:left="116"/>
              <w:textAlignment w:val="baseline"/>
              <w:rPr>
                <w:rFonts w:ascii="Arial" w:eastAsia="Arial" w:hAnsi="Arial"/>
                <w:color w:val="000000"/>
                <w:sz w:val="24"/>
              </w:rPr>
            </w:pPr>
            <w:r>
              <w:rPr>
                <w:rFonts w:ascii="Arial" w:eastAsia="Arial" w:hAnsi="Arial"/>
                <w:color w:val="000000"/>
                <w:sz w:val="24"/>
              </w:rPr>
              <w:t>-34</w:t>
            </w:r>
          </w:p>
        </w:tc>
      </w:tr>
      <w:tr w:rsidR="00B17C48">
        <w:trPr>
          <w:trHeight w:hRule="exact" w:val="537"/>
        </w:trPr>
        <w:tc>
          <w:tcPr>
            <w:tcW w:w="3197" w:type="dxa"/>
            <w:vMerge/>
            <w:tcBorders>
              <w:top w:val="single" w:sz="0" w:space="0" w:color="000000"/>
              <w:left w:val="single" w:sz="4" w:space="0" w:color="000000"/>
              <w:bottom w:val="single" w:sz="13" w:space="0" w:color="000000"/>
              <w:right w:val="single" w:sz="4" w:space="0" w:color="000000"/>
            </w:tcBorders>
          </w:tcPr>
          <w:p w:rsidR="00B17C48" w:rsidRDefault="00B17C48"/>
        </w:tc>
        <w:tc>
          <w:tcPr>
            <w:tcW w:w="3187" w:type="dxa"/>
            <w:tcBorders>
              <w:top w:val="single" w:sz="4" w:space="0" w:color="000000"/>
              <w:left w:val="single" w:sz="4" w:space="0" w:color="000000"/>
              <w:bottom w:val="single" w:sz="13" w:space="0" w:color="000000"/>
              <w:right w:val="single" w:sz="4" w:space="0" w:color="000000"/>
            </w:tcBorders>
          </w:tcPr>
          <w:p w:rsidR="00B17C48" w:rsidRDefault="00ED35B9">
            <w:pPr>
              <w:spacing w:after="247" w:line="280" w:lineRule="exact"/>
              <w:ind w:left="111"/>
              <w:textAlignment w:val="baseline"/>
              <w:rPr>
                <w:rFonts w:ascii="Arial" w:eastAsia="Arial" w:hAnsi="Arial"/>
                <w:color w:val="000000"/>
                <w:sz w:val="24"/>
              </w:rPr>
            </w:pPr>
            <w:r>
              <w:rPr>
                <w:rFonts w:ascii="Arial" w:eastAsia="Arial" w:hAnsi="Arial"/>
                <w:color w:val="000000"/>
                <w:sz w:val="24"/>
              </w:rPr>
              <w:t>Bungalow</w:t>
            </w:r>
          </w:p>
        </w:tc>
        <w:tc>
          <w:tcPr>
            <w:tcW w:w="3192" w:type="dxa"/>
            <w:tcBorders>
              <w:top w:val="single" w:sz="4" w:space="0" w:color="000000"/>
              <w:left w:val="single" w:sz="4" w:space="0" w:color="000000"/>
              <w:bottom w:val="single" w:sz="13" w:space="0" w:color="000000"/>
              <w:right w:val="single" w:sz="4" w:space="0" w:color="000000"/>
            </w:tcBorders>
          </w:tcPr>
          <w:p w:rsidR="00B17C48" w:rsidRDefault="00ED35B9">
            <w:pPr>
              <w:spacing w:after="247" w:line="280" w:lineRule="exact"/>
              <w:ind w:left="116"/>
              <w:textAlignment w:val="baseline"/>
              <w:rPr>
                <w:rFonts w:ascii="Arial" w:eastAsia="Arial" w:hAnsi="Arial"/>
                <w:color w:val="000000"/>
                <w:sz w:val="24"/>
              </w:rPr>
            </w:pPr>
            <w:r>
              <w:rPr>
                <w:rFonts w:ascii="Arial" w:eastAsia="Arial" w:hAnsi="Arial"/>
                <w:color w:val="000000"/>
                <w:sz w:val="24"/>
              </w:rPr>
              <w:t>0</w:t>
            </w:r>
          </w:p>
        </w:tc>
      </w:tr>
      <w:tr w:rsidR="00B17C48">
        <w:trPr>
          <w:trHeight w:hRule="exact" w:val="538"/>
        </w:trPr>
        <w:tc>
          <w:tcPr>
            <w:tcW w:w="3197" w:type="dxa"/>
            <w:vMerge w:val="restart"/>
            <w:tcBorders>
              <w:top w:val="single" w:sz="13" w:space="0" w:color="000000"/>
              <w:left w:val="single" w:sz="4" w:space="0" w:color="000000"/>
              <w:bottom w:val="single" w:sz="0" w:space="0" w:color="000000"/>
              <w:right w:val="single" w:sz="4" w:space="0" w:color="000000"/>
            </w:tcBorders>
          </w:tcPr>
          <w:p w:rsidR="00B17C48" w:rsidRDefault="00ED35B9">
            <w:pPr>
              <w:spacing w:after="981" w:line="308" w:lineRule="exact"/>
              <w:ind w:left="108"/>
              <w:textAlignment w:val="baseline"/>
              <w:rPr>
                <w:rFonts w:ascii="Arial" w:eastAsia="Arial" w:hAnsi="Arial"/>
                <w:color w:val="000000"/>
                <w:sz w:val="24"/>
              </w:rPr>
            </w:pPr>
            <w:r>
              <w:rPr>
                <w:rFonts w:ascii="Arial" w:eastAsia="Arial" w:hAnsi="Arial"/>
                <w:color w:val="000000"/>
                <w:sz w:val="24"/>
              </w:rPr>
              <w:t>Was the home built before 1964?</w:t>
            </w:r>
          </w:p>
        </w:tc>
        <w:tc>
          <w:tcPr>
            <w:tcW w:w="3187" w:type="dxa"/>
            <w:tcBorders>
              <w:top w:val="single" w:sz="13" w:space="0" w:color="000000"/>
              <w:left w:val="single" w:sz="4" w:space="0" w:color="000000"/>
              <w:bottom w:val="single" w:sz="4" w:space="0" w:color="000000"/>
              <w:right w:val="single" w:sz="4" w:space="0" w:color="000000"/>
            </w:tcBorders>
          </w:tcPr>
          <w:p w:rsidR="00B17C48" w:rsidRDefault="00ED35B9">
            <w:pPr>
              <w:spacing w:after="232" w:line="280" w:lineRule="exact"/>
              <w:ind w:left="111"/>
              <w:textAlignment w:val="baseline"/>
              <w:rPr>
                <w:rFonts w:ascii="Arial" w:eastAsia="Arial" w:hAnsi="Arial"/>
                <w:color w:val="000000"/>
                <w:sz w:val="24"/>
              </w:rPr>
            </w:pPr>
            <w:r>
              <w:rPr>
                <w:rFonts w:ascii="Arial" w:eastAsia="Arial" w:hAnsi="Arial"/>
                <w:color w:val="000000"/>
                <w:sz w:val="24"/>
              </w:rPr>
              <w:t>Yes</w:t>
            </w:r>
          </w:p>
        </w:tc>
        <w:tc>
          <w:tcPr>
            <w:tcW w:w="3192" w:type="dxa"/>
            <w:tcBorders>
              <w:top w:val="single" w:sz="13" w:space="0" w:color="000000"/>
              <w:left w:val="single" w:sz="4" w:space="0" w:color="000000"/>
              <w:bottom w:val="single" w:sz="4" w:space="0" w:color="000000"/>
              <w:right w:val="single" w:sz="4" w:space="0" w:color="000000"/>
            </w:tcBorders>
          </w:tcPr>
          <w:p w:rsidR="00B17C48" w:rsidRDefault="00ED35B9">
            <w:pPr>
              <w:spacing w:after="232" w:line="280" w:lineRule="exact"/>
              <w:ind w:left="116"/>
              <w:textAlignment w:val="baseline"/>
              <w:rPr>
                <w:rFonts w:ascii="Arial" w:eastAsia="Arial" w:hAnsi="Arial"/>
                <w:color w:val="000000"/>
                <w:sz w:val="24"/>
              </w:rPr>
            </w:pPr>
            <w:r>
              <w:rPr>
                <w:rFonts w:ascii="Arial" w:eastAsia="Arial" w:hAnsi="Arial"/>
                <w:color w:val="000000"/>
                <w:sz w:val="24"/>
              </w:rPr>
              <w:t>17</w:t>
            </w:r>
          </w:p>
        </w:tc>
      </w:tr>
      <w:tr w:rsidR="00B17C48">
        <w:trPr>
          <w:trHeight w:hRule="exact" w:val="528"/>
        </w:trPr>
        <w:tc>
          <w:tcPr>
            <w:tcW w:w="3197" w:type="dxa"/>
            <w:vMerge/>
            <w:tcBorders>
              <w:top w:val="single" w:sz="0" w:space="0" w:color="000000"/>
              <w:left w:val="single" w:sz="4" w:space="0" w:color="000000"/>
              <w:bottom w:val="single" w:sz="0" w:space="0" w:color="000000"/>
              <w:right w:val="single" w:sz="4" w:space="0" w:color="000000"/>
            </w:tcBorders>
          </w:tcPr>
          <w:p w:rsidR="00B17C48" w:rsidRDefault="00B17C48"/>
        </w:tc>
        <w:tc>
          <w:tcPr>
            <w:tcW w:w="3187" w:type="dxa"/>
            <w:tcBorders>
              <w:top w:val="single" w:sz="4" w:space="0" w:color="000000"/>
              <w:left w:val="single" w:sz="4" w:space="0" w:color="000000"/>
              <w:bottom w:val="single" w:sz="4" w:space="0" w:color="000000"/>
              <w:right w:val="single" w:sz="4" w:space="0" w:color="000000"/>
            </w:tcBorders>
          </w:tcPr>
          <w:p w:rsidR="00B17C48" w:rsidRDefault="00ED35B9">
            <w:pPr>
              <w:spacing w:after="237" w:line="280" w:lineRule="exact"/>
              <w:ind w:left="111"/>
              <w:textAlignment w:val="baseline"/>
              <w:rPr>
                <w:rFonts w:ascii="Arial" w:eastAsia="Arial" w:hAnsi="Arial"/>
                <w:color w:val="000000"/>
                <w:sz w:val="24"/>
              </w:rPr>
            </w:pPr>
            <w:r>
              <w:rPr>
                <w:rFonts w:ascii="Arial" w:eastAsia="Arial" w:hAnsi="Arial"/>
                <w:color w:val="000000"/>
                <w:sz w:val="24"/>
              </w:rPr>
              <w:t>No</w:t>
            </w:r>
          </w:p>
        </w:tc>
        <w:tc>
          <w:tcPr>
            <w:tcW w:w="3192" w:type="dxa"/>
            <w:tcBorders>
              <w:top w:val="single" w:sz="4" w:space="0" w:color="000000"/>
              <w:left w:val="single" w:sz="4" w:space="0" w:color="000000"/>
              <w:bottom w:val="single" w:sz="4" w:space="0" w:color="000000"/>
              <w:right w:val="single" w:sz="4" w:space="0" w:color="000000"/>
            </w:tcBorders>
          </w:tcPr>
          <w:p w:rsidR="00B17C48" w:rsidRDefault="00ED35B9">
            <w:pPr>
              <w:spacing w:after="237" w:line="280" w:lineRule="exact"/>
              <w:ind w:left="116"/>
              <w:textAlignment w:val="baseline"/>
              <w:rPr>
                <w:rFonts w:ascii="Arial" w:eastAsia="Arial" w:hAnsi="Arial"/>
                <w:color w:val="000000"/>
                <w:sz w:val="24"/>
              </w:rPr>
            </w:pPr>
            <w:r>
              <w:rPr>
                <w:rFonts w:ascii="Arial" w:eastAsia="Arial" w:hAnsi="Arial"/>
                <w:color w:val="000000"/>
                <w:sz w:val="24"/>
              </w:rPr>
              <w:t>0</w:t>
            </w:r>
          </w:p>
        </w:tc>
      </w:tr>
      <w:tr w:rsidR="00B17C48">
        <w:trPr>
          <w:trHeight w:hRule="exact" w:val="538"/>
        </w:trPr>
        <w:tc>
          <w:tcPr>
            <w:tcW w:w="3197" w:type="dxa"/>
            <w:vMerge/>
            <w:tcBorders>
              <w:top w:val="single" w:sz="0" w:space="0" w:color="000000"/>
              <w:left w:val="single" w:sz="4" w:space="0" w:color="000000"/>
              <w:bottom w:val="single" w:sz="13" w:space="0" w:color="000000"/>
              <w:right w:val="single" w:sz="4" w:space="0" w:color="000000"/>
            </w:tcBorders>
          </w:tcPr>
          <w:p w:rsidR="00B17C48" w:rsidRDefault="00B17C48"/>
        </w:tc>
        <w:tc>
          <w:tcPr>
            <w:tcW w:w="3187" w:type="dxa"/>
            <w:tcBorders>
              <w:top w:val="single" w:sz="4" w:space="0" w:color="000000"/>
              <w:left w:val="single" w:sz="4" w:space="0" w:color="000000"/>
              <w:bottom w:val="single" w:sz="13" w:space="0" w:color="000000"/>
              <w:right w:val="single" w:sz="4" w:space="0" w:color="000000"/>
            </w:tcBorders>
          </w:tcPr>
          <w:p w:rsidR="00B17C48" w:rsidRDefault="00ED35B9">
            <w:pPr>
              <w:spacing w:after="242" w:line="280" w:lineRule="exact"/>
              <w:ind w:left="111"/>
              <w:textAlignment w:val="baseline"/>
              <w:rPr>
                <w:rFonts w:ascii="Arial" w:eastAsia="Arial" w:hAnsi="Arial"/>
                <w:color w:val="000000"/>
                <w:sz w:val="24"/>
              </w:rPr>
            </w:pPr>
            <w:r>
              <w:rPr>
                <w:rFonts w:ascii="Arial" w:eastAsia="Arial" w:hAnsi="Arial"/>
                <w:color w:val="000000"/>
                <w:sz w:val="24"/>
              </w:rPr>
              <w:t>No response</w:t>
            </w:r>
          </w:p>
        </w:tc>
        <w:tc>
          <w:tcPr>
            <w:tcW w:w="3192" w:type="dxa"/>
            <w:tcBorders>
              <w:top w:val="single" w:sz="4" w:space="0" w:color="000000"/>
              <w:left w:val="single" w:sz="4" w:space="0" w:color="000000"/>
              <w:bottom w:val="single" w:sz="13" w:space="0" w:color="000000"/>
              <w:right w:val="single" w:sz="4" w:space="0" w:color="000000"/>
            </w:tcBorders>
          </w:tcPr>
          <w:p w:rsidR="00B17C48" w:rsidRDefault="00ED35B9">
            <w:pPr>
              <w:spacing w:after="242" w:line="280" w:lineRule="exact"/>
              <w:ind w:left="116"/>
              <w:textAlignment w:val="baseline"/>
              <w:rPr>
                <w:rFonts w:ascii="Arial" w:eastAsia="Arial" w:hAnsi="Arial"/>
                <w:color w:val="000000"/>
                <w:sz w:val="24"/>
              </w:rPr>
            </w:pPr>
            <w:r>
              <w:rPr>
                <w:rFonts w:ascii="Arial" w:eastAsia="Arial" w:hAnsi="Arial"/>
                <w:color w:val="000000"/>
                <w:sz w:val="24"/>
              </w:rPr>
              <w:t>17</w:t>
            </w:r>
          </w:p>
        </w:tc>
      </w:tr>
      <w:tr w:rsidR="00B17C48">
        <w:trPr>
          <w:trHeight w:hRule="exact" w:val="537"/>
        </w:trPr>
        <w:tc>
          <w:tcPr>
            <w:tcW w:w="3197" w:type="dxa"/>
            <w:vMerge w:val="restart"/>
            <w:tcBorders>
              <w:top w:val="single" w:sz="13" w:space="0" w:color="000000"/>
              <w:left w:val="single" w:sz="4" w:space="0" w:color="000000"/>
              <w:bottom w:val="single" w:sz="0" w:space="0" w:color="000000"/>
              <w:right w:val="single" w:sz="4" w:space="0" w:color="000000"/>
            </w:tcBorders>
          </w:tcPr>
          <w:p w:rsidR="00B17C48" w:rsidRDefault="00ED35B9">
            <w:pPr>
              <w:spacing w:after="1509" w:line="308" w:lineRule="exact"/>
              <w:ind w:left="108" w:right="468"/>
              <w:textAlignment w:val="baseline"/>
              <w:rPr>
                <w:rFonts w:ascii="Arial" w:eastAsia="Arial" w:hAnsi="Arial"/>
                <w:color w:val="000000"/>
                <w:spacing w:val="-2"/>
                <w:sz w:val="24"/>
              </w:rPr>
            </w:pPr>
            <w:r>
              <w:rPr>
                <w:rFonts w:ascii="Arial" w:eastAsia="Arial" w:hAnsi="Arial"/>
                <w:color w:val="000000"/>
                <w:spacing w:val="-2"/>
                <w:sz w:val="24"/>
              </w:rPr>
              <w:t>What is the main heating fuel used in your home?</w:t>
            </w:r>
          </w:p>
        </w:tc>
        <w:tc>
          <w:tcPr>
            <w:tcW w:w="3187" w:type="dxa"/>
            <w:tcBorders>
              <w:top w:val="single" w:sz="13" w:space="0" w:color="000000"/>
              <w:left w:val="single" w:sz="4" w:space="0" w:color="000000"/>
              <w:bottom w:val="single" w:sz="4" w:space="0" w:color="000000"/>
              <w:right w:val="single" w:sz="4" w:space="0" w:color="000000"/>
            </w:tcBorders>
          </w:tcPr>
          <w:p w:rsidR="00B17C48" w:rsidRDefault="00ED35B9">
            <w:pPr>
              <w:spacing w:after="228" w:line="280" w:lineRule="exact"/>
              <w:ind w:left="111"/>
              <w:textAlignment w:val="baseline"/>
              <w:rPr>
                <w:rFonts w:ascii="Arial" w:eastAsia="Arial" w:hAnsi="Arial"/>
                <w:color w:val="000000"/>
                <w:sz w:val="24"/>
              </w:rPr>
            </w:pPr>
            <w:r>
              <w:rPr>
                <w:rFonts w:ascii="Arial" w:eastAsia="Arial" w:hAnsi="Arial"/>
                <w:color w:val="000000"/>
                <w:sz w:val="24"/>
              </w:rPr>
              <w:t>Gas</w:t>
            </w:r>
          </w:p>
        </w:tc>
        <w:tc>
          <w:tcPr>
            <w:tcW w:w="3192" w:type="dxa"/>
            <w:tcBorders>
              <w:top w:val="single" w:sz="13" w:space="0" w:color="000000"/>
              <w:left w:val="single" w:sz="4" w:space="0" w:color="000000"/>
              <w:bottom w:val="single" w:sz="4" w:space="0" w:color="000000"/>
              <w:right w:val="single" w:sz="4" w:space="0" w:color="000000"/>
            </w:tcBorders>
          </w:tcPr>
          <w:p w:rsidR="00B17C48" w:rsidRDefault="00ED35B9">
            <w:pPr>
              <w:spacing w:after="228" w:line="280" w:lineRule="exact"/>
              <w:ind w:left="116"/>
              <w:textAlignment w:val="baseline"/>
              <w:rPr>
                <w:rFonts w:ascii="Arial" w:eastAsia="Arial" w:hAnsi="Arial"/>
                <w:color w:val="000000"/>
                <w:sz w:val="24"/>
              </w:rPr>
            </w:pPr>
            <w:r>
              <w:rPr>
                <w:rFonts w:ascii="Arial" w:eastAsia="Arial" w:hAnsi="Arial"/>
                <w:color w:val="000000"/>
                <w:sz w:val="24"/>
              </w:rPr>
              <w:t>-14</w:t>
            </w:r>
          </w:p>
        </w:tc>
      </w:tr>
      <w:tr w:rsidR="00B17C48">
        <w:trPr>
          <w:trHeight w:hRule="exact" w:val="528"/>
        </w:trPr>
        <w:tc>
          <w:tcPr>
            <w:tcW w:w="3197" w:type="dxa"/>
            <w:vMerge/>
            <w:tcBorders>
              <w:top w:val="single" w:sz="0" w:space="0" w:color="000000"/>
              <w:left w:val="single" w:sz="4" w:space="0" w:color="000000"/>
              <w:bottom w:val="single" w:sz="0" w:space="0" w:color="000000"/>
              <w:right w:val="single" w:sz="4" w:space="0" w:color="000000"/>
            </w:tcBorders>
          </w:tcPr>
          <w:p w:rsidR="00B17C48" w:rsidRDefault="00B17C48"/>
        </w:tc>
        <w:tc>
          <w:tcPr>
            <w:tcW w:w="3187" w:type="dxa"/>
            <w:tcBorders>
              <w:top w:val="single" w:sz="4" w:space="0" w:color="000000"/>
              <w:left w:val="single" w:sz="4" w:space="0" w:color="000000"/>
              <w:bottom w:val="single" w:sz="4" w:space="0" w:color="000000"/>
              <w:right w:val="single" w:sz="4" w:space="0" w:color="000000"/>
            </w:tcBorders>
          </w:tcPr>
          <w:p w:rsidR="00B17C48" w:rsidRDefault="00ED35B9">
            <w:pPr>
              <w:spacing w:after="237" w:line="280" w:lineRule="exact"/>
              <w:ind w:left="111"/>
              <w:textAlignment w:val="baseline"/>
              <w:rPr>
                <w:rFonts w:ascii="Arial" w:eastAsia="Arial" w:hAnsi="Arial"/>
                <w:color w:val="000000"/>
                <w:sz w:val="24"/>
              </w:rPr>
            </w:pPr>
            <w:r>
              <w:rPr>
                <w:rFonts w:ascii="Arial" w:eastAsia="Arial" w:hAnsi="Arial"/>
                <w:color w:val="000000"/>
                <w:sz w:val="24"/>
              </w:rPr>
              <w:t>Electricity</w:t>
            </w:r>
          </w:p>
        </w:tc>
        <w:tc>
          <w:tcPr>
            <w:tcW w:w="3192" w:type="dxa"/>
            <w:tcBorders>
              <w:top w:val="single" w:sz="4" w:space="0" w:color="000000"/>
              <w:left w:val="single" w:sz="4" w:space="0" w:color="000000"/>
              <w:bottom w:val="single" w:sz="4" w:space="0" w:color="000000"/>
              <w:right w:val="single" w:sz="4" w:space="0" w:color="000000"/>
            </w:tcBorders>
          </w:tcPr>
          <w:p w:rsidR="00B17C48" w:rsidRDefault="00ED35B9">
            <w:pPr>
              <w:spacing w:after="237" w:line="280" w:lineRule="exact"/>
              <w:ind w:left="116"/>
              <w:textAlignment w:val="baseline"/>
              <w:rPr>
                <w:rFonts w:ascii="Arial" w:eastAsia="Arial" w:hAnsi="Arial"/>
                <w:color w:val="000000"/>
                <w:sz w:val="24"/>
              </w:rPr>
            </w:pPr>
            <w:r>
              <w:rPr>
                <w:rFonts w:ascii="Arial" w:eastAsia="Arial" w:hAnsi="Arial"/>
                <w:color w:val="000000"/>
                <w:sz w:val="24"/>
              </w:rPr>
              <w:t>0</w:t>
            </w:r>
          </w:p>
        </w:tc>
      </w:tr>
      <w:tr w:rsidR="00B17C48">
        <w:trPr>
          <w:trHeight w:hRule="exact" w:val="523"/>
        </w:trPr>
        <w:tc>
          <w:tcPr>
            <w:tcW w:w="3197" w:type="dxa"/>
            <w:vMerge/>
            <w:tcBorders>
              <w:top w:val="single" w:sz="0" w:space="0" w:color="000000"/>
              <w:left w:val="single" w:sz="4" w:space="0" w:color="000000"/>
              <w:bottom w:val="single" w:sz="0" w:space="0" w:color="000000"/>
              <w:right w:val="single" w:sz="4" w:space="0" w:color="000000"/>
            </w:tcBorders>
          </w:tcPr>
          <w:p w:rsidR="00B17C48" w:rsidRDefault="00B17C48"/>
        </w:tc>
        <w:tc>
          <w:tcPr>
            <w:tcW w:w="3187" w:type="dxa"/>
            <w:tcBorders>
              <w:top w:val="single" w:sz="4" w:space="0" w:color="000000"/>
              <w:left w:val="single" w:sz="4" w:space="0" w:color="000000"/>
              <w:bottom w:val="single" w:sz="4" w:space="0" w:color="000000"/>
              <w:right w:val="single" w:sz="4" w:space="0" w:color="000000"/>
            </w:tcBorders>
          </w:tcPr>
          <w:p w:rsidR="00B17C48" w:rsidRDefault="00ED35B9">
            <w:pPr>
              <w:spacing w:after="227" w:line="280" w:lineRule="exact"/>
              <w:ind w:left="111"/>
              <w:textAlignment w:val="baseline"/>
              <w:rPr>
                <w:rFonts w:ascii="Arial" w:eastAsia="Arial" w:hAnsi="Arial"/>
                <w:color w:val="000000"/>
                <w:sz w:val="24"/>
              </w:rPr>
            </w:pPr>
            <w:r>
              <w:rPr>
                <w:rFonts w:ascii="Arial" w:eastAsia="Arial" w:hAnsi="Arial"/>
                <w:color w:val="000000"/>
                <w:sz w:val="24"/>
              </w:rPr>
              <w:t>Oil</w:t>
            </w:r>
          </w:p>
        </w:tc>
        <w:tc>
          <w:tcPr>
            <w:tcW w:w="3192" w:type="dxa"/>
            <w:tcBorders>
              <w:top w:val="single" w:sz="4" w:space="0" w:color="000000"/>
              <w:left w:val="single" w:sz="4" w:space="0" w:color="000000"/>
              <w:bottom w:val="single" w:sz="4" w:space="0" w:color="000000"/>
              <w:right w:val="single" w:sz="4" w:space="0" w:color="000000"/>
            </w:tcBorders>
          </w:tcPr>
          <w:p w:rsidR="00B17C48" w:rsidRDefault="00ED35B9">
            <w:pPr>
              <w:spacing w:after="227" w:line="280" w:lineRule="exact"/>
              <w:ind w:left="116"/>
              <w:textAlignment w:val="baseline"/>
              <w:rPr>
                <w:rFonts w:ascii="Arial" w:eastAsia="Arial" w:hAnsi="Arial"/>
                <w:color w:val="000000"/>
                <w:sz w:val="24"/>
              </w:rPr>
            </w:pPr>
            <w:r>
              <w:rPr>
                <w:rFonts w:ascii="Arial" w:eastAsia="Arial" w:hAnsi="Arial"/>
                <w:color w:val="000000"/>
                <w:sz w:val="24"/>
              </w:rPr>
              <w:t>12</w:t>
            </w:r>
          </w:p>
        </w:tc>
      </w:tr>
      <w:tr w:rsidR="00B17C48">
        <w:trPr>
          <w:trHeight w:hRule="exact" w:val="538"/>
        </w:trPr>
        <w:tc>
          <w:tcPr>
            <w:tcW w:w="3197" w:type="dxa"/>
            <w:vMerge/>
            <w:tcBorders>
              <w:top w:val="single" w:sz="0" w:space="0" w:color="000000"/>
              <w:left w:val="single" w:sz="4" w:space="0" w:color="000000"/>
              <w:bottom w:val="single" w:sz="13" w:space="0" w:color="000000"/>
              <w:right w:val="single" w:sz="4" w:space="0" w:color="000000"/>
            </w:tcBorders>
          </w:tcPr>
          <w:p w:rsidR="00B17C48" w:rsidRDefault="00B17C48"/>
        </w:tc>
        <w:tc>
          <w:tcPr>
            <w:tcW w:w="3187" w:type="dxa"/>
            <w:tcBorders>
              <w:top w:val="single" w:sz="4" w:space="0" w:color="000000"/>
              <w:left w:val="single" w:sz="4" w:space="0" w:color="000000"/>
              <w:bottom w:val="single" w:sz="13" w:space="0" w:color="000000"/>
              <w:right w:val="single" w:sz="4" w:space="0" w:color="000000"/>
            </w:tcBorders>
          </w:tcPr>
          <w:p w:rsidR="00B17C48" w:rsidRDefault="00ED35B9">
            <w:pPr>
              <w:spacing w:after="246" w:line="280" w:lineRule="exact"/>
              <w:ind w:left="111"/>
              <w:textAlignment w:val="baseline"/>
              <w:rPr>
                <w:rFonts w:ascii="Arial" w:eastAsia="Arial" w:hAnsi="Arial"/>
                <w:color w:val="000000"/>
                <w:sz w:val="24"/>
              </w:rPr>
            </w:pPr>
            <w:r>
              <w:rPr>
                <w:rFonts w:ascii="Arial" w:eastAsia="Arial" w:hAnsi="Arial"/>
                <w:color w:val="000000"/>
                <w:sz w:val="24"/>
              </w:rPr>
              <w:t>Other</w:t>
            </w:r>
          </w:p>
        </w:tc>
        <w:tc>
          <w:tcPr>
            <w:tcW w:w="3192" w:type="dxa"/>
            <w:tcBorders>
              <w:top w:val="single" w:sz="4" w:space="0" w:color="000000"/>
              <w:left w:val="single" w:sz="4" w:space="0" w:color="000000"/>
              <w:bottom w:val="single" w:sz="13" w:space="0" w:color="000000"/>
              <w:right w:val="single" w:sz="4" w:space="0" w:color="000000"/>
            </w:tcBorders>
          </w:tcPr>
          <w:p w:rsidR="00B17C48" w:rsidRDefault="00ED35B9">
            <w:pPr>
              <w:spacing w:after="246" w:line="280" w:lineRule="exact"/>
              <w:ind w:left="116"/>
              <w:textAlignment w:val="baseline"/>
              <w:rPr>
                <w:rFonts w:ascii="Arial" w:eastAsia="Arial" w:hAnsi="Arial"/>
                <w:color w:val="000000"/>
                <w:sz w:val="24"/>
              </w:rPr>
            </w:pPr>
            <w:r>
              <w:rPr>
                <w:rFonts w:ascii="Arial" w:eastAsia="Arial" w:hAnsi="Arial"/>
                <w:color w:val="000000"/>
                <w:sz w:val="24"/>
              </w:rPr>
              <w:t>-10</w:t>
            </w:r>
          </w:p>
        </w:tc>
      </w:tr>
      <w:tr w:rsidR="00B17C48">
        <w:trPr>
          <w:trHeight w:hRule="exact" w:val="538"/>
        </w:trPr>
        <w:tc>
          <w:tcPr>
            <w:tcW w:w="3197" w:type="dxa"/>
            <w:vMerge w:val="restart"/>
            <w:tcBorders>
              <w:top w:val="single" w:sz="13" w:space="0" w:color="000000"/>
              <w:left w:val="single" w:sz="4" w:space="0" w:color="000000"/>
              <w:bottom w:val="single" w:sz="0" w:space="0" w:color="000000"/>
              <w:right w:val="single" w:sz="4" w:space="0" w:color="000000"/>
            </w:tcBorders>
          </w:tcPr>
          <w:p w:rsidR="00B17C48" w:rsidRDefault="00ED35B9">
            <w:pPr>
              <w:spacing w:after="233" w:line="311" w:lineRule="exact"/>
              <w:ind w:left="108" w:right="252"/>
              <w:textAlignment w:val="baseline"/>
              <w:rPr>
                <w:rFonts w:ascii="Arial" w:eastAsia="Arial" w:hAnsi="Arial"/>
                <w:color w:val="000000"/>
                <w:sz w:val="24"/>
              </w:rPr>
            </w:pPr>
            <w:r>
              <w:rPr>
                <w:rFonts w:ascii="Arial" w:eastAsia="Arial" w:hAnsi="Arial"/>
                <w:color w:val="000000"/>
                <w:sz w:val="24"/>
              </w:rPr>
              <w:t>Does at least one member of the household spend most of the day at home?</w:t>
            </w:r>
          </w:p>
        </w:tc>
        <w:tc>
          <w:tcPr>
            <w:tcW w:w="3187" w:type="dxa"/>
            <w:tcBorders>
              <w:top w:val="single" w:sz="13" w:space="0" w:color="000000"/>
              <w:left w:val="single" w:sz="4" w:space="0" w:color="000000"/>
              <w:bottom w:val="single" w:sz="4" w:space="0" w:color="000000"/>
              <w:right w:val="single" w:sz="4" w:space="0" w:color="000000"/>
            </w:tcBorders>
          </w:tcPr>
          <w:p w:rsidR="00B17C48" w:rsidRDefault="00ED35B9">
            <w:pPr>
              <w:spacing w:after="232" w:line="280" w:lineRule="exact"/>
              <w:ind w:left="111"/>
              <w:textAlignment w:val="baseline"/>
              <w:rPr>
                <w:rFonts w:ascii="Arial" w:eastAsia="Arial" w:hAnsi="Arial"/>
                <w:color w:val="000000"/>
                <w:sz w:val="24"/>
              </w:rPr>
            </w:pPr>
            <w:r>
              <w:rPr>
                <w:rFonts w:ascii="Arial" w:eastAsia="Arial" w:hAnsi="Arial"/>
                <w:color w:val="000000"/>
                <w:sz w:val="24"/>
              </w:rPr>
              <w:t>Yes</w:t>
            </w:r>
          </w:p>
        </w:tc>
        <w:tc>
          <w:tcPr>
            <w:tcW w:w="3192" w:type="dxa"/>
            <w:tcBorders>
              <w:top w:val="single" w:sz="13" w:space="0" w:color="000000"/>
              <w:left w:val="single" w:sz="4" w:space="0" w:color="000000"/>
              <w:bottom w:val="single" w:sz="4" w:space="0" w:color="000000"/>
              <w:right w:val="single" w:sz="4" w:space="0" w:color="000000"/>
            </w:tcBorders>
          </w:tcPr>
          <w:p w:rsidR="00B17C48" w:rsidRDefault="00ED35B9">
            <w:pPr>
              <w:spacing w:after="232" w:line="280" w:lineRule="exact"/>
              <w:ind w:left="116"/>
              <w:textAlignment w:val="baseline"/>
              <w:rPr>
                <w:rFonts w:ascii="Arial" w:eastAsia="Arial" w:hAnsi="Arial"/>
                <w:color w:val="000000"/>
                <w:sz w:val="24"/>
              </w:rPr>
            </w:pPr>
            <w:r>
              <w:rPr>
                <w:rFonts w:ascii="Arial" w:eastAsia="Arial" w:hAnsi="Arial"/>
                <w:color w:val="000000"/>
                <w:sz w:val="24"/>
              </w:rPr>
              <w:t>1</w:t>
            </w:r>
          </w:p>
        </w:tc>
      </w:tr>
      <w:tr w:rsidR="00B17C48">
        <w:trPr>
          <w:trHeight w:hRule="exact" w:val="638"/>
        </w:trPr>
        <w:tc>
          <w:tcPr>
            <w:tcW w:w="3197" w:type="dxa"/>
            <w:vMerge/>
            <w:tcBorders>
              <w:top w:val="single" w:sz="0" w:space="0" w:color="000000"/>
              <w:left w:val="single" w:sz="4" w:space="0" w:color="000000"/>
              <w:bottom w:val="single" w:sz="4" w:space="0" w:color="000000"/>
              <w:right w:val="single" w:sz="4" w:space="0" w:color="000000"/>
            </w:tcBorders>
          </w:tcPr>
          <w:p w:rsidR="00B17C48" w:rsidRDefault="00B17C48"/>
        </w:tc>
        <w:tc>
          <w:tcPr>
            <w:tcW w:w="3187" w:type="dxa"/>
            <w:tcBorders>
              <w:top w:val="single" w:sz="4" w:space="0" w:color="000000"/>
              <w:left w:val="single" w:sz="4" w:space="0" w:color="000000"/>
              <w:bottom w:val="single" w:sz="4" w:space="0" w:color="000000"/>
              <w:right w:val="single" w:sz="4" w:space="0" w:color="000000"/>
            </w:tcBorders>
          </w:tcPr>
          <w:p w:rsidR="00B17C48" w:rsidRDefault="00ED35B9">
            <w:pPr>
              <w:spacing w:after="338" w:line="280" w:lineRule="exact"/>
              <w:ind w:left="111"/>
              <w:textAlignment w:val="baseline"/>
              <w:rPr>
                <w:rFonts w:ascii="Arial" w:eastAsia="Arial" w:hAnsi="Arial"/>
                <w:color w:val="000000"/>
                <w:sz w:val="24"/>
              </w:rPr>
            </w:pPr>
            <w:r>
              <w:rPr>
                <w:rFonts w:ascii="Arial" w:eastAsia="Arial" w:hAnsi="Arial"/>
                <w:color w:val="000000"/>
                <w:sz w:val="24"/>
              </w:rPr>
              <w:t>No</w:t>
            </w:r>
          </w:p>
        </w:tc>
        <w:tc>
          <w:tcPr>
            <w:tcW w:w="3192" w:type="dxa"/>
            <w:tcBorders>
              <w:top w:val="single" w:sz="4" w:space="0" w:color="000000"/>
              <w:left w:val="single" w:sz="4" w:space="0" w:color="000000"/>
              <w:bottom w:val="single" w:sz="4" w:space="0" w:color="000000"/>
              <w:right w:val="single" w:sz="4" w:space="0" w:color="000000"/>
            </w:tcBorders>
          </w:tcPr>
          <w:p w:rsidR="00B17C48" w:rsidRDefault="00ED35B9">
            <w:pPr>
              <w:spacing w:after="338" w:line="280" w:lineRule="exact"/>
              <w:ind w:left="116"/>
              <w:textAlignment w:val="baseline"/>
              <w:rPr>
                <w:rFonts w:ascii="Arial" w:eastAsia="Arial" w:hAnsi="Arial"/>
                <w:color w:val="000000"/>
                <w:sz w:val="24"/>
              </w:rPr>
            </w:pPr>
            <w:r>
              <w:rPr>
                <w:rFonts w:ascii="Arial" w:eastAsia="Arial" w:hAnsi="Arial"/>
                <w:color w:val="000000"/>
                <w:sz w:val="24"/>
              </w:rPr>
              <w:t>0</w:t>
            </w:r>
          </w:p>
        </w:tc>
      </w:tr>
    </w:tbl>
    <w:p w:rsidR="005F68FE" w:rsidRDefault="005F68FE"/>
    <w:sectPr w:rsidR="005F68FE">
      <w:pgSz w:w="11904" w:h="16843"/>
      <w:pgMar w:top="900" w:right="1292" w:bottom="864"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Verdana">
    <w:charset w:val="00"/>
    <w:pitch w:val="variable"/>
    <w:family w:val="swiss"/>
    <w:panose1 w:val="02020603050405020304"/>
  </w:font>
  <w:font w:name="Calibri">
    <w:charset w:val="00"/>
    <w:pitch w:val="variable"/>
    <w:family w:val="roman"/>
    <w:panose1 w:val="02020603050405020304"/>
  </w:font>
  <w:font w:name="Symbol">
    <w:pitch w:val="default"/>
    <w:family w:val="auto"/>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84646"/>
    <w:multiLevelType w:val="multilevel"/>
    <w:tmpl w:val="4D064C7E"/>
    <w:lvl w:ilvl="0">
      <w:start w:val="1"/>
      <w:numFmt w:val="lowerLetter"/>
      <w:lvlText w:val="%1)"/>
      <w:lvlJc w:val="left"/>
      <w:pPr>
        <w:tabs>
          <w:tab w:val="left" w:pos="576"/>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3163DA"/>
    <w:multiLevelType w:val="multilevel"/>
    <w:tmpl w:val="E33639FA"/>
    <w:lvl w:ilvl="0">
      <w:start w:val="1"/>
      <w:numFmt w:val="lowerLetter"/>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DC94C53"/>
    <w:multiLevelType w:val="multilevel"/>
    <w:tmpl w:val="8574188C"/>
    <w:lvl w:ilvl="0">
      <w:start w:val="1"/>
      <w:numFmt w:val="bullet"/>
      <w:lvlText w:val="·"/>
      <w:lvlJc w:val="left"/>
      <w:pPr>
        <w:tabs>
          <w:tab w:val="left" w:pos="288"/>
        </w:tabs>
        <w:ind w:left="720"/>
      </w:pPr>
      <w:rPr>
        <w:rFonts w:ascii="Symbol" w:eastAsia="Symbol" w:hAnsi="Symbol"/>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09A3E61"/>
    <w:multiLevelType w:val="multilevel"/>
    <w:tmpl w:val="A1466962"/>
    <w:lvl w:ilvl="0">
      <w:start w:val="1"/>
      <w:numFmt w:val="lowerLetter"/>
      <w:lvlText w:val="%1)"/>
      <w:lvlJc w:val="left"/>
      <w:pPr>
        <w:tabs>
          <w:tab w:val="left" w:pos="864"/>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9A00187"/>
    <w:multiLevelType w:val="multilevel"/>
    <w:tmpl w:val="9E0CB55E"/>
    <w:lvl w:ilvl="0">
      <w:start w:val="2"/>
      <w:numFmt w:val="lowerLetter"/>
      <w:lvlText w:val="%1)"/>
      <w:lvlJc w:val="left"/>
      <w:pPr>
        <w:tabs>
          <w:tab w:val="left" w:pos="360"/>
        </w:tabs>
        <w:ind w:left="720"/>
      </w:pPr>
      <w:rPr>
        <w:rFonts w:ascii="Arial" w:eastAsia="Arial" w:hAnsi="Arial"/>
        <w:b/>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BD92B54"/>
    <w:multiLevelType w:val="multilevel"/>
    <w:tmpl w:val="E348C7F2"/>
    <w:lvl w:ilvl="0">
      <w:start w:val="3"/>
      <w:numFmt w:val="decimal"/>
      <w:lvlText w:val="%1."/>
      <w:lvlJc w:val="left"/>
      <w:pPr>
        <w:tabs>
          <w:tab w:val="left" w:pos="576"/>
        </w:tabs>
        <w:ind w:left="720"/>
      </w:pPr>
      <w:rPr>
        <w:rFonts w:ascii="Arial" w:eastAsia="Arial" w:hAnsi="Arial"/>
        <w:b/>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3857ACC"/>
    <w:multiLevelType w:val="multilevel"/>
    <w:tmpl w:val="8244D560"/>
    <w:lvl w:ilvl="0">
      <w:start w:val="1"/>
      <w:numFmt w:val="bullet"/>
      <w:lvlText w:val="·"/>
      <w:lvlJc w:val="left"/>
      <w:pPr>
        <w:tabs>
          <w:tab w:val="left" w:pos="360"/>
        </w:tabs>
        <w:ind w:left="720"/>
      </w:pPr>
      <w:rPr>
        <w:rFonts w:ascii="Symbol" w:eastAsia="Symbol" w:hAnsi="Symbol"/>
        <w:b/>
        <w:i/>
        <w:strike w:val="0"/>
        <w:color w:val="3B3938"/>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5947B78"/>
    <w:multiLevelType w:val="multilevel"/>
    <w:tmpl w:val="E7FAE108"/>
    <w:lvl w:ilvl="0">
      <w:start w:val="3"/>
      <w:numFmt w:val="decimal"/>
      <w:lvlText w:val="%1)"/>
      <w:lvlJc w:val="left"/>
      <w:pPr>
        <w:tabs>
          <w:tab w:val="left" w:pos="288"/>
        </w:tabs>
        <w:ind w:left="720"/>
      </w:pPr>
      <w:rPr>
        <w:rFonts w:ascii="Arial" w:eastAsia="Arial" w:hAnsi="Arial"/>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59E5D84"/>
    <w:multiLevelType w:val="multilevel"/>
    <w:tmpl w:val="A7DE9AB8"/>
    <w:lvl w:ilvl="0">
      <w:start w:val="1"/>
      <w:numFmt w:val="decimal"/>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683291E"/>
    <w:multiLevelType w:val="multilevel"/>
    <w:tmpl w:val="40B83FFA"/>
    <w:lvl w:ilvl="0">
      <w:start w:val="1"/>
      <w:numFmt w:val="bullet"/>
      <w:lvlText w:val="·"/>
      <w:lvlJc w:val="left"/>
      <w:pPr>
        <w:tabs>
          <w:tab w:val="left" w:pos="432"/>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D6151BB"/>
    <w:multiLevelType w:val="multilevel"/>
    <w:tmpl w:val="6EAC2952"/>
    <w:lvl w:ilvl="0">
      <w:start w:val="1"/>
      <w:numFmt w:val="lowerLetter"/>
      <w:lvlText w:val="%1)"/>
      <w:lvlJc w:val="left"/>
      <w:pPr>
        <w:tabs>
          <w:tab w:val="left" w:pos="576"/>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0"/>
  </w:num>
  <w:num w:numId="3">
    <w:abstractNumId w:val="10"/>
  </w:num>
  <w:num w:numId="4">
    <w:abstractNumId w:val="5"/>
  </w:num>
  <w:num w:numId="5">
    <w:abstractNumId w:val="2"/>
  </w:num>
  <w:num w:numId="6">
    <w:abstractNumId w:val="1"/>
  </w:num>
  <w:num w:numId="7">
    <w:abstractNumId w:val="6"/>
  </w:num>
  <w:num w:numId="8">
    <w:abstractNumId w:val="3"/>
  </w:num>
  <w:num w:numId="9">
    <w:abstractNumId w:val="4"/>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B17C48"/>
    <w:rsid w:val="00182F65"/>
    <w:rsid w:val="003F197C"/>
    <w:rsid w:val="005F68FE"/>
    <w:rsid w:val="009A5B47"/>
    <w:rsid w:val="00A300AD"/>
    <w:rsid w:val="00B17C48"/>
    <w:rsid w:val="00B51C6B"/>
    <w:rsid w:val="00D35147"/>
    <w:rsid w:val="00E77D7A"/>
    <w:rsid w:val="00ED35B9"/>
    <w:rsid w:val="00EF5F95"/>
    <w:rsid w:val="00F84A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197C"/>
    <w:rPr>
      <w:rFonts w:ascii="Tahoma" w:hAnsi="Tahoma" w:cs="Tahoma"/>
      <w:sz w:val="16"/>
      <w:szCs w:val="16"/>
    </w:rPr>
  </w:style>
  <w:style w:type="character" w:customStyle="1" w:styleId="BalloonTextChar">
    <w:name w:val="Balloon Text Char"/>
    <w:basedOn w:val="DefaultParagraphFont"/>
    <w:link w:val="BalloonText"/>
    <w:uiPriority w:val="99"/>
    <w:semiHidden/>
    <w:rsid w:val="003F197C"/>
    <w:rPr>
      <w:rFonts w:ascii="Tahoma" w:hAnsi="Tahoma" w:cs="Tahoma"/>
      <w:sz w:val="16"/>
      <w:szCs w:val="16"/>
    </w:rPr>
  </w:style>
  <w:style w:type="paragraph" w:styleId="ListParagraph">
    <w:name w:val="List Paragraph"/>
    <w:basedOn w:val="Normal"/>
    <w:uiPriority w:val="34"/>
    <w:qFormat/>
    <w:rsid w:val="00E77D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197C"/>
    <w:rPr>
      <w:rFonts w:ascii="Tahoma" w:hAnsi="Tahoma" w:cs="Tahoma"/>
      <w:sz w:val="16"/>
      <w:szCs w:val="16"/>
    </w:rPr>
  </w:style>
  <w:style w:type="character" w:customStyle="1" w:styleId="BalloonTextChar">
    <w:name w:val="Balloon Text Char"/>
    <w:basedOn w:val="DefaultParagraphFont"/>
    <w:link w:val="BalloonText"/>
    <w:uiPriority w:val="99"/>
    <w:semiHidden/>
    <w:rsid w:val="003F197C"/>
    <w:rPr>
      <w:rFonts w:ascii="Tahoma" w:hAnsi="Tahoma" w:cs="Tahoma"/>
      <w:sz w:val="16"/>
      <w:szCs w:val="16"/>
    </w:rPr>
  </w:style>
  <w:style w:type="paragraph" w:styleId="ListParagraph">
    <w:name w:val="List Paragraph"/>
    <w:basedOn w:val="Normal"/>
    <w:uiPriority w:val="34"/>
    <w:qFormat/>
    <w:rsid w:val="00E77D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drId3" Type="http://schemas.openxmlformats.org/wordprocessingml/2006/fontTable" Target="fontTable0.xml"/><Relationship Id="rId7" Type="http://schemas.openxmlformats.org/officeDocument/2006/relationships/hyperlink" Target="mailto:homelife@carlisl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ott.burns@carlisle.gov.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1874</Words>
  <Characters>10684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Statement of Intent</vt:lpstr>
    </vt:vector>
  </TitlesOfParts>
  <Company>Carlisle City Council</Company>
  <LinksUpToDate>false</LinksUpToDate>
  <CharactersWithSpaces>12533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Intent</dc:title>
  <dc:creator>Dawn Reid</dc:creator>
  <cp:lastModifiedBy>Emma Moraitis</cp:lastModifiedBy>
  <cp:revision>2</cp:revision>
  <cp:lastPrinted>2018-06-15T14:09:00Z</cp:lastPrinted>
  <dcterms:created xsi:type="dcterms:W3CDTF">2018-06-15T14:14:00Z</dcterms:created>
  <dcterms:modified xsi:type="dcterms:W3CDTF">2018-06-15T14:14:00Z</dcterms:modified>
</cp:coreProperties>
</file>