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34"/>
        <w:gridCol w:w="2518"/>
        <w:gridCol w:w="212"/>
        <w:gridCol w:w="6079"/>
        <w:gridCol w:w="967"/>
        <w:gridCol w:w="113"/>
      </w:tblGrid>
      <w:tr w:rsidR="0068451D" w:rsidRPr="00DD67AF" w:rsidTr="00761574">
        <w:trPr>
          <w:gridBefore w:val="3"/>
          <w:gridAfter w:val="1"/>
          <w:wBefore w:w="2764" w:type="dxa"/>
          <w:wAfter w:w="113" w:type="dxa"/>
          <w:trHeight w:val="1693"/>
        </w:trPr>
        <w:tc>
          <w:tcPr>
            <w:tcW w:w="6079" w:type="dxa"/>
            <w:tcBorders>
              <w:top w:val="single" w:sz="4" w:space="0" w:color="auto"/>
              <w:left w:val="single" w:sz="4" w:space="0" w:color="auto"/>
              <w:bottom w:val="single" w:sz="4" w:space="0" w:color="auto"/>
              <w:right w:val="single" w:sz="4" w:space="0" w:color="auto"/>
            </w:tcBorders>
          </w:tcPr>
          <w:p w:rsidR="0068451D" w:rsidRPr="00DD67AF" w:rsidRDefault="00AF7E4C" w:rsidP="00F46552">
            <w:pPr>
              <w:pStyle w:val="Header"/>
              <w:rPr>
                <w:rFonts w:cs="Arial"/>
                <w:b/>
                <w:noProof/>
                <w:sz w:val="44"/>
                <w:szCs w:val="44"/>
              </w:rPr>
            </w:pPr>
            <w:r w:rsidRPr="00DD67AF">
              <w:rPr>
                <w:rFonts w:cs="Arial"/>
                <w:b/>
                <w:noProof/>
                <w:sz w:val="44"/>
                <w:szCs w:val="44"/>
              </w:rPr>
              <w:drawing>
                <wp:anchor distT="0" distB="0" distL="114300" distR="114300" simplePos="0" relativeHeight="251659776" behindDoc="0" locked="0" layoutInCell="0" allowOverlap="1">
                  <wp:simplePos x="0" y="0"/>
                  <wp:positionH relativeFrom="column">
                    <wp:posOffset>22860</wp:posOffset>
                  </wp:positionH>
                  <wp:positionV relativeFrom="page">
                    <wp:posOffset>590550</wp:posOffset>
                  </wp:positionV>
                  <wp:extent cx="1276350" cy="1095375"/>
                  <wp:effectExtent l="19050" t="0" r="0" b="0"/>
                  <wp:wrapNone/>
                  <wp:docPr id="1"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11" cstate="print"/>
                          <a:srcRect/>
                          <a:stretch>
                            <a:fillRect/>
                          </a:stretch>
                        </pic:blipFill>
                        <pic:spPr bwMode="auto">
                          <a:xfrm>
                            <a:off x="0" y="0"/>
                            <a:ext cx="1276350" cy="1095375"/>
                          </a:xfrm>
                          <a:prstGeom prst="rect">
                            <a:avLst/>
                          </a:prstGeom>
                          <a:noFill/>
                          <a:ln w="9525">
                            <a:noFill/>
                            <a:miter lim="800000"/>
                            <a:headEnd/>
                            <a:tailEnd/>
                          </a:ln>
                        </pic:spPr>
                      </pic:pic>
                    </a:graphicData>
                  </a:graphic>
                </wp:anchor>
              </w:drawing>
            </w:r>
            <w:r w:rsidR="0076387B">
              <w:rPr>
                <w:rFonts w:cs="Arial"/>
                <w:b/>
                <w:noProof/>
                <w:sz w:val="44"/>
                <w:szCs w:val="44"/>
              </w:rPr>
              <w:pict>
                <v:shapetype id="_x0000_t32" coordsize="21600,21600" o:spt="32" o:oned="t" path="m,l21600,21600e" filled="f">
                  <v:path arrowok="t" fillok="f" o:connecttype="none"/>
                  <o:lock v:ext="edit" shapetype="t"/>
                </v:shapetype>
                <v:shape id="_x0000_s1027" type="#_x0000_t32" style="position:absolute;margin-left:269.8pt;margin-top:-.95pt;width:0;height:0;z-index:251661824;mso-position-horizontal-relative:text;mso-position-vertical-relative:text" o:connectortype="straight"/>
              </w:pict>
            </w:r>
            <w:r w:rsidR="004730C1" w:rsidRPr="00DD67AF">
              <w:rPr>
                <w:rFonts w:cs="Arial"/>
                <w:b/>
                <w:noProof/>
                <w:sz w:val="44"/>
                <w:szCs w:val="44"/>
              </w:rPr>
              <w:t xml:space="preserve"> </w:t>
            </w:r>
            <w:bookmarkStart w:id="0" w:name="ReportType"/>
            <w:bookmarkEnd w:id="0"/>
            <w:r w:rsidR="009E04A8">
              <w:rPr>
                <w:rFonts w:cs="Arial"/>
                <w:b/>
                <w:noProof/>
                <w:sz w:val="44"/>
                <w:szCs w:val="44"/>
              </w:rPr>
              <w:t>Report to Community Overview and Scrutiny Panel</w:t>
            </w:r>
            <w:r w:rsidR="004730C1" w:rsidRPr="00DD67AF">
              <w:rPr>
                <w:rFonts w:cs="Arial"/>
                <w:b/>
                <w:noProof/>
                <w:sz w:val="44"/>
                <w:szCs w:val="44"/>
              </w:rPr>
              <w:t xml:space="preserve"> </w:t>
            </w:r>
          </w:p>
        </w:tc>
        <w:tc>
          <w:tcPr>
            <w:tcW w:w="967" w:type="dxa"/>
            <w:tcBorders>
              <w:top w:val="single" w:sz="4" w:space="0" w:color="auto"/>
              <w:left w:val="single" w:sz="4" w:space="0" w:color="auto"/>
              <w:bottom w:val="single" w:sz="4" w:space="0" w:color="auto"/>
              <w:right w:val="single" w:sz="4" w:space="0" w:color="auto"/>
            </w:tcBorders>
          </w:tcPr>
          <w:p w:rsidR="0068451D" w:rsidRPr="00DD67AF" w:rsidRDefault="00F514EE" w:rsidP="0068451D">
            <w:pPr>
              <w:pStyle w:val="Header"/>
              <w:rPr>
                <w:rFonts w:cs="Arial"/>
                <w:b/>
                <w:noProof/>
                <w:szCs w:val="24"/>
              </w:rPr>
            </w:pPr>
            <w:r w:rsidRPr="00DD67AF">
              <w:rPr>
                <w:rFonts w:cs="Arial"/>
                <w:b/>
                <w:noProof/>
                <w:sz w:val="20"/>
              </w:rPr>
              <w:t>Agenda Item</w:t>
            </w:r>
            <w:r w:rsidRPr="00DD67AF">
              <w:rPr>
                <w:rFonts w:cs="Arial"/>
                <w:b/>
                <w:noProof/>
                <w:szCs w:val="24"/>
              </w:rPr>
              <w:t>:</w:t>
            </w:r>
          </w:p>
        </w:tc>
      </w:tr>
      <w:tr w:rsidR="001B2160" w:rsidRPr="00DD67AF" w:rsidTr="00767038">
        <w:trPr>
          <w:gridAfter w:val="1"/>
          <w:wAfter w:w="113" w:type="dxa"/>
          <w:cantSplit/>
          <w:trHeight w:val="317"/>
        </w:trPr>
        <w:tc>
          <w:tcPr>
            <w:tcW w:w="2552" w:type="dxa"/>
            <w:gridSpan w:val="2"/>
            <w:vAlign w:val="center"/>
          </w:tcPr>
          <w:p w:rsidR="001B2160" w:rsidRPr="00DD67AF" w:rsidRDefault="001B2160" w:rsidP="001D1240">
            <w:pPr>
              <w:pStyle w:val="Header"/>
              <w:tabs>
                <w:tab w:val="clear" w:pos="4153"/>
                <w:tab w:val="clear" w:pos="8306"/>
              </w:tabs>
              <w:rPr>
                <w:rFonts w:cs="Arial"/>
                <w:b/>
                <w:szCs w:val="24"/>
              </w:rPr>
            </w:pPr>
          </w:p>
        </w:tc>
        <w:tc>
          <w:tcPr>
            <w:tcW w:w="7258" w:type="dxa"/>
            <w:gridSpan w:val="3"/>
            <w:vAlign w:val="center"/>
          </w:tcPr>
          <w:p w:rsidR="001B2160" w:rsidRPr="00DD67AF" w:rsidRDefault="001B2160" w:rsidP="001D1240">
            <w:pPr>
              <w:pStyle w:val="Header"/>
              <w:tabs>
                <w:tab w:val="clear" w:pos="4153"/>
                <w:tab w:val="clear" w:pos="8306"/>
              </w:tabs>
              <w:rPr>
                <w:rFonts w:cs="Arial"/>
                <w:b/>
                <w:szCs w:val="24"/>
              </w:rPr>
            </w:pPr>
          </w:p>
        </w:tc>
      </w:tr>
      <w:tr w:rsidR="00767038" w:rsidRPr="00DD67AF" w:rsidTr="00767038">
        <w:trPr>
          <w:gridAfter w:val="1"/>
          <w:wAfter w:w="113" w:type="dxa"/>
          <w:cantSplit/>
          <w:trHeight w:val="312"/>
        </w:trPr>
        <w:tc>
          <w:tcPr>
            <w:tcW w:w="2552" w:type="dxa"/>
            <w:gridSpan w:val="2"/>
            <w:vAlign w:val="center"/>
          </w:tcPr>
          <w:p w:rsidR="00767038" w:rsidRPr="00DD67AF" w:rsidRDefault="00767038" w:rsidP="001D1240">
            <w:pPr>
              <w:pStyle w:val="Header"/>
              <w:tabs>
                <w:tab w:val="clear" w:pos="4153"/>
                <w:tab w:val="clear" w:pos="8306"/>
              </w:tabs>
              <w:rPr>
                <w:rFonts w:cs="Arial"/>
                <w:szCs w:val="24"/>
              </w:rPr>
            </w:pPr>
            <w:r w:rsidRPr="00DD67AF">
              <w:rPr>
                <w:rFonts w:cs="Arial"/>
                <w:szCs w:val="24"/>
              </w:rPr>
              <w:t>Meeting Date:</w:t>
            </w:r>
          </w:p>
        </w:tc>
        <w:tc>
          <w:tcPr>
            <w:tcW w:w="7258" w:type="dxa"/>
            <w:gridSpan w:val="3"/>
            <w:vAlign w:val="center"/>
          </w:tcPr>
          <w:p w:rsidR="00767038" w:rsidRPr="00DD67AF" w:rsidRDefault="009E04A8" w:rsidP="002D6AA8">
            <w:pPr>
              <w:pStyle w:val="Header"/>
              <w:tabs>
                <w:tab w:val="clear" w:pos="4153"/>
                <w:tab w:val="clear" w:pos="8306"/>
              </w:tabs>
              <w:rPr>
                <w:rFonts w:cs="Arial"/>
                <w:szCs w:val="24"/>
              </w:rPr>
            </w:pPr>
            <w:bookmarkStart w:id="1" w:name="DateOfMeeting"/>
            <w:bookmarkEnd w:id="1"/>
            <w:r>
              <w:rPr>
                <w:rFonts w:cs="Arial"/>
                <w:szCs w:val="24"/>
              </w:rPr>
              <w:t>1</w:t>
            </w:r>
            <w:r w:rsidR="002D6AA8">
              <w:rPr>
                <w:rFonts w:cs="Arial"/>
                <w:szCs w:val="24"/>
              </w:rPr>
              <w:t>1 September</w:t>
            </w:r>
            <w:r>
              <w:rPr>
                <w:rFonts w:cs="Arial"/>
                <w:szCs w:val="24"/>
              </w:rPr>
              <w:t xml:space="preserve"> 2014</w:t>
            </w:r>
          </w:p>
        </w:tc>
      </w:tr>
      <w:tr w:rsidR="0086685A" w:rsidRPr="00DD67AF" w:rsidTr="00767038">
        <w:trPr>
          <w:gridAfter w:val="1"/>
          <w:wAfter w:w="113" w:type="dxa"/>
          <w:cantSplit/>
          <w:trHeight w:val="312"/>
        </w:trPr>
        <w:tc>
          <w:tcPr>
            <w:tcW w:w="2552" w:type="dxa"/>
            <w:gridSpan w:val="2"/>
            <w:vAlign w:val="center"/>
          </w:tcPr>
          <w:p w:rsidR="0086685A" w:rsidRPr="00DD67AF" w:rsidRDefault="00767038" w:rsidP="001D1240">
            <w:pPr>
              <w:pStyle w:val="Header"/>
              <w:tabs>
                <w:tab w:val="clear" w:pos="4153"/>
                <w:tab w:val="clear" w:pos="8306"/>
              </w:tabs>
              <w:rPr>
                <w:rFonts w:cs="Arial"/>
                <w:szCs w:val="24"/>
              </w:rPr>
            </w:pPr>
            <w:r w:rsidRPr="00DD67AF">
              <w:rPr>
                <w:rFonts w:cs="Arial"/>
                <w:szCs w:val="24"/>
              </w:rPr>
              <w:t>Portfolio:</w:t>
            </w:r>
          </w:p>
        </w:tc>
        <w:tc>
          <w:tcPr>
            <w:tcW w:w="7258" w:type="dxa"/>
            <w:gridSpan w:val="3"/>
            <w:vAlign w:val="center"/>
          </w:tcPr>
          <w:p w:rsidR="0086685A" w:rsidRPr="00DD67AF" w:rsidRDefault="002D6AA8" w:rsidP="001D1240">
            <w:pPr>
              <w:pStyle w:val="Header"/>
              <w:tabs>
                <w:tab w:val="clear" w:pos="4153"/>
                <w:tab w:val="clear" w:pos="8306"/>
              </w:tabs>
              <w:rPr>
                <w:rFonts w:cs="Arial"/>
                <w:szCs w:val="24"/>
              </w:rPr>
            </w:pPr>
            <w:bookmarkStart w:id="2" w:name="Portfolio"/>
            <w:bookmarkEnd w:id="2"/>
            <w:r w:rsidRPr="00516B76">
              <w:rPr>
                <w:rFonts w:cs="Arial"/>
                <w:bCs/>
                <w:szCs w:val="24"/>
              </w:rPr>
              <w:t>Communities, Health &amp; Wellbeing</w:t>
            </w:r>
          </w:p>
        </w:tc>
      </w:tr>
      <w:tr w:rsidR="004A1AD6" w:rsidRPr="00DD67AF" w:rsidTr="00767038">
        <w:trPr>
          <w:gridAfter w:val="1"/>
          <w:wAfter w:w="113" w:type="dxa"/>
          <w:cantSplit/>
          <w:trHeight w:val="388"/>
        </w:trPr>
        <w:tc>
          <w:tcPr>
            <w:tcW w:w="2552" w:type="dxa"/>
            <w:gridSpan w:val="2"/>
            <w:vAlign w:val="center"/>
          </w:tcPr>
          <w:p w:rsidR="004A1AD6" w:rsidRPr="00DD67AF" w:rsidRDefault="004A1AD6" w:rsidP="00654EE5">
            <w:pPr>
              <w:pStyle w:val="Header"/>
              <w:tabs>
                <w:tab w:val="clear" w:pos="4153"/>
                <w:tab w:val="clear" w:pos="8306"/>
              </w:tabs>
              <w:rPr>
                <w:rFonts w:cs="Arial"/>
                <w:szCs w:val="24"/>
              </w:rPr>
            </w:pPr>
            <w:r w:rsidRPr="00DD67AF">
              <w:rPr>
                <w:rFonts w:cs="Arial"/>
                <w:szCs w:val="24"/>
              </w:rPr>
              <w:t>Key Decision:</w:t>
            </w:r>
          </w:p>
        </w:tc>
        <w:tc>
          <w:tcPr>
            <w:tcW w:w="7258" w:type="dxa"/>
            <w:gridSpan w:val="3"/>
            <w:vAlign w:val="center"/>
          </w:tcPr>
          <w:p w:rsidR="004A1AD6" w:rsidRPr="00DD67AF" w:rsidRDefault="009E04A8" w:rsidP="00654EE5">
            <w:pPr>
              <w:pStyle w:val="Header"/>
              <w:tabs>
                <w:tab w:val="clear" w:pos="4153"/>
                <w:tab w:val="clear" w:pos="8306"/>
              </w:tabs>
              <w:rPr>
                <w:rFonts w:cs="Arial"/>
                <w:szCs w:val="24"/>
              </w:rPr>
            </w:pPr>
            <w:bookmarkStart w:id="3" w:name="KeyDecision"/>
            <w:bookmarkEnd w:id="3"/>
            <w:r>
              <w:rPr>
                <w:rFonts w:cs="Arial"/>
                <w:szCs w:val="24"/>
              </w:rPr>
              <w:t>No</w:t>
            </w:r>
          </w:p>
        </w:tc>
      </w:tr>
      <w:tr w:rsidR="004A1AD6" w:rsidRPr="00DD67AF" w:rsidTr="00767038">
        <w:trPr>
          <w:gridAfter w:val="1"/>
          <w:wAfter w:w="113" w:type="dxa"/>
          <w:cantSplit/>
          <w:trHeight w:val="388"/>
        </w:trPr>
        <w:tc>
          <w:tcPr>
            <w:tcW w:w="2552" w:type="dxa"/>
            <w:gridSpan w:val="2"/>
            <w:vAlign w:val="center"/>
          </w:tcPr>
          <w:p w:rsidR="004A1AD6" w:rsidRPr="00DD67AF" w:rsidRDefault="004A1AD6" w:rsidP="004A1AD6">
            <w:pPr>
              <w:pStyle w:val="Header"/>
              <w:tabs>
                <w:tab w:val="clear" w:pos="4153"/>
                <w:tab w:val="clear" w:pos="8306"/>
              </w:tabs>
              <w:rPr>
                <w:rFonts w:cs="Arial"/>
                <w:szCs w:val="24"/>
              </w:rPr>
            </w:pPr>
            <w:r w:rsidRPr="00DD67AF">
              <w:rPr>
                <w:rFonts w:cs="Arial"/>
                <w:szCs w:val="24"/>
              </w:rPr>
              <w:t>Within Policy and Budget Framework</w:t>
            </w:r>
          </w:p>
        </w:tc>
        <w:tc>
          <w:tcPr>
            <w:tcW w:w="7258" w:type="dxa"/>
            <w:gridSpan w:val="3"/>
            <w:vAlign w:val="center"/>
          </w:tcPr>
          <w:p w:rsidR="009E04A8" w:rsidRDefault="009E04A8" w:rsidP="001D1240">
            <w:pPr>
              <w:pStyle w:val="Header"/>
              <w:tabs>
                <w:tab w:val="clear" w:pos="4153"/>
                <w:tab w:val="clear" w:pos="8306"/>
              </w:tabs>
              <w:rPr>
                <w:rFonts w:cs="Arial"/>
                <w:szCs w:val="24"/>
              </w:rPr>
            </w:pPr>
            <w:bookmarkStart w:id="4" w:name="WithinPolicy"/>
            <w:bookmarkEnd w:id="4"/>
          </w:p>
          <w:p w:rsidR="004A1AD6" w:rsidRPr="00DD67AF" w:rsidRDefault="009E04A8" w:rsidP="001D1240">
            <w:pPr>
              <w:pStyle w:val="Header"/>
              <w:tabs>
                <w:tab w:val="clear" w:pos="4153"/>
                <w:tab w:val="clear" w:pos="8306"/>
              </w:tabs>
              <w:rPr>
                <w:rFonts w:cs="Arial"/>
                <w:szCs w:val="24"/>
              </w:rPr>
            </w:pPr>
            <w:r>
              <w:rPr>
                <w:rFonts w:cs="Arial"/>
                <w:szCs w:val="24"/>
              </w:rPr>
              <w:t>YES</w:t>
            </w:r>
          </w:p>
        </w:tc>
      </w:tr>
      <w:tr w:rsidR="001B2160" w:rsidRPr="00DD67AF" w:rsidTr="00767038">
        <w:trPr>
          <w:gridAfter w:val="1"/>
          <w:wAfter w:w="113" w:type="dxa"/>
          <w:cantSplit/>
          <w:trHeight w:val="432"/>
        </w:trPr>
        <w:tc>
          <w:tcPr>
            <w:tcW w:w="2552" w:type="dxa"/>
            <w:gridSpan w:val="2"/>
            <w:vAlign w:val="center"/>
          </w:tcPr>
          <w:p w:rsidR="001B2160" w:rsidRPr="00DD67AF" w:rsidRDefault="00AD1ACD" w:rsidP="00AF7E4C">
            <w:pPr>
              <w:pStyle w:val="Header"/>
              <w:tabs>
                <w:tab w:val="clear" w:pos="4153"/>
                <w:tab w:val="clear" w:pos="8306"/>
              </w:tabs>
              <w:rPr>
                <w:rFonts w:cs="Arial"/>
                <w:szCs w:val="24"/>
              </w:rPr>
            </w:pPr>
            <w:bookmarkStart w:id="5" w:name="publicprivate"/>
            <w:bookmarkEnd w:id="5"/>
            <w:r w:rsidRPr="00DD67AF">
              <w:rPr>
                <w:rFonts w:cs="Arial"/>
                <w:szCs w:val="24"/>
              </w:rPr>
              <w:t>Public / Private</w:t>
            </w:r>
          </w:p>
        </w:tc>
        <w:tc>
          <w:tcPr>
            <w:tcW w:w="7258" w:type="dxa"/>
            <w:gridSpan w:val="3"/>
            <w:vAlign w:val="center"/>
          </w:tcPr>
          <w:p w:rsidR="001B2160" w:rsidRPr="00DD67AF" w:rsidRDefault="009E04A8" w:rsidP="00AF7E4C">
            <w:pPr>
              <w:pStyle w:val="Header"/>
              <w:tabs>
                <w:tab w:val="clear" w:pos="4153"/>
                <w:tab w:val="clear" w:pos="8306"/>
              </w:tabs>
              <w:ind w:left="176" w:hanging="176"/>
              <w:rPr>
                <w:rFonts w:cs="Arial"/>
                <w:szCs w:val="24"/>
              </w:rPr>
            </w:pPr>
            <w:bookmarkStart w:id="6" w:name="NotForPublication"/>
            <w:bookmarkEnd w:id="6"/>
            <w:r>
              <w:rPr>
                <w:rFonts w:cs="Arial"/>
                <w:szCs w:val="24"/>
              </w:rPr>
              <w:t>Public</w:t>
            </w:r>
          </w:p>
        </w:tc>
      </w:tr>
      <w:tr w:rsidR="001B2160" w:rsidRPr="00DD67AF" w:rsidTr="00767038">
        <w:trPr>
          <w:gridAfter w:val="1"/>
          <w:wAfter w:w="113" w:type="dxa"/>
          <w:cantSplit/>
          <w:trHeight w:val="80"/>
        </w:trPr>
        <w:tc>
          <w:tcPr>
            <w:tcW w:w="9810" w:type="dxa"/>
            <w:gridSpan w:val="5"/>
            <w:shd w:val="clear" w:color="auto" w:fill="auto"/>
          </w:tcPr>
          <w:p w:rsidR="001B2160" w:rsidRPr="00DD67AF" w:rsidRDefault="001B2160">
            <w:pPr>
              <w:pStyle w:val="Header"/>
              <w:tabs>
                <w:tab w:val="clear" w:pos="4153"/>
                <w:tab w:val="clear" w:pos="8306"/>
              </w:tabs>
              <w:rPr>
                <w:rFonts w:cs="Arial"/>
                <w:b/>
                <w:szCs w:val="24"/>
              </w:rPr>
            </w:pPr>
          </w:p>
        </w:tc>
      </w:tr>
      <w:tr w:rsidR="001B2160" w:rsidRPr="00DD67AF" w:rsidTr="00767038">
        <w:trPr>
          <w:gridBefore w:val="1"/>
          <w:wBefore w:w="34" w:type="dxa"/>
        </w:trPr>
        <w:tc>
          <w:tcPr>
            <w:tcW w:w="2518" w:type="dxa"/>
          </w:tcPr>
          <w:p w:rsidR="001B2160" w:rsidRPr="00DD67AF" w:rsidRDefault="00D36A4B">
            <w:pPr>
              <w:pStyle w:val="Heading8"/>
              <w:spacing w:before="0"/>
              <w:rPr>
                <w:rFonts w:ascii="Arial" w:hAnsi="Arial" w:cs="Arial"/>
                <w:b w:val="0"/>
                <w:sz w:val="24"/>
                <w:szCs w:val="24"/>
              </w:rPr>
            </w:pPr>
            <w:r w:rsidRPr="00DD67AF">
              <w:rPr>
                <w:rFonts w:ascii="Arial" w:hAnsi="Arial" w:cs="Arial"/>
                <w:b w:val="0"/>
                <w:sz w:val="24"/>
                <w:szCs w:val="24"/>
              </w:rPr>
              <w:t>Title:</w:t>
            </w:r>
          </w:p>
        </w:tc>
        <w:tc>
          <w:tcPr>
            <w:tcW w:w="7371" w:type="dxa"/>
            <w:gridSpan w:val="4"/>
          </w:tcPr>
          <w:p w:rsidR="001B2160" w:rsidRPr="00DD67AF" w:rsidRDefault="002D6AA8">
            <w:pPr>
              <w:rPr>
                <w:rFonts w:cs="Arial"/>
                <w:szCs w:val="24"/>
              </w:rPr>
            </w:pPr>
            <w:bookmarkStart w:id="7" w:name="Title"/>
            <w:bookmarkEnd w:id="7"/>
            <w:r>
              <w:rPr>
                <w:szCs w:val="24"/>
              </w:rPr>
              <w:t>Public Sector Equality Duty review</w:t>
            </w:r>
          </w:p>
        </w:tc>
      </w:tr>
      <w:tr w:rsidR="001B2160" w:rsidRPr="00DD67AF" w:rsidTr="00767038">
        <w:trPr>
          <w:gridBefore w:val="1"/>
          <w:wBefore w:w="34" w:type="dxa"/>
        </w:trPr>
        <w:tc>
          <w:tcPr>
            <w:tcW w:w="2518" w:type="dxa"/>
          </w:tcPr>
          <w:p w:rsidR="001B2160" w:rsidRPr="00DD67AF" w:rsidRDefault="00D36A4B">
            <w:pPr>
              <w:pStyle w:val="Heading8"/>
              <w:spacing w:before="0"/>
              <w:rPr>
                <w:rFonts w:ascii="Arial" w:hAnsi="Arial" w:cs="Arial"/>
                <w:b w:val="0"/>
                <w:sz w:val="24"/>
                <w:szCs w:val="24"/>
              </w:rPr>
            </w:pPr>
            <w:r w:rsidRPr="00DD67AF">
              <w:rPr>
                <w:rFonts w:ascii="Arial" w:hAnsi="Arial" w:cs="Arial"/>
                <w:b w:val="0"/>
                <w:sz w:val="24"/>
                <w:szCs w:val="24"/>
              </w:rPr>
              <w:t>Report of:</w:t>
            </w:r>
          </w:p>
        </w:tc>
        <w:tc>
          <w:tcPr>
            <w:tcW w:w="7371" w:type="dxa"/>
            <w:gridSpan w:val="4"/>
          </w:tcPr>
          <w:p w:rsidR="001B2160" w:rsidRPr="00DD67AF" w:rsidRDefault="009E04A8">
            <w:pPr>
              <w:rPr>
                <w:rFonts w:cs="Arial"/>
                <w:szCs w:val="24"/>
              </w:rPr>
            </w:pPr>
            <w:bookmarkStart w:id="8" w:name="ReportOf"/>
            <w:bookmarkEnd w:id="8"/>
            <w:r>
              <w:rPr>
                <w:rFonts w:cs="Arial"/>
                <w:szCs w:val="24"/>
              </w:rPr>
              <w:t>Policy and Communications Manager</w:t>
            </w:r>
          </w:p>
        </w:tc>
      </w:tr>
      <w:tr w:rsidR="001B2160" w:rsidRPr="00DD67AF" w:rsidTr="00767038">
        <w:trPr>
          <w:gridBefore w:val="1"/>
          <w:wBefore w:w="34" w:type="dxa"/>
        </w:trPr>
        <w:tc>
          <w:tcPr>
            <w:tcW w:w="2518" w:type="dxa"/>
          </w:tcPr>
          <w:p w:rsidR="001B2160" w:rsidRPr="00DD67AF" w:rsidRDefault="00D36A4B" w:rsidP="0086685A">
            <w:pPr>
              <w:pStyle w:val="Heading8"/>
              <w:spacing w:before="0" w:after="60"/>
              <w:rPr>
                <w:rFonts w:ascii="Arial" w:hAnsi="Arial" w:cs="Arial"/>
                <w:b w:val="0"/>
                <w:sz w:val="24"/>
                <w:szCs w:val="24"/>
              </w:rPr>
            </w:pPr>
            <w:r w:rsidRPr="00DD67AF">
              <w:rPr>
                <w:rFonts w:ascii="Arial" w:hAnsi="Arial" w:cs="Arial"/>
                <w:b w:val="0"/>
                <w:sz w:val="24"/>
                <w:szCs w:val="24"/>
              </w:rPr>
              <w:t xml:space="preserve">Report </w:t>
            </w:r>
            <w:r w:rsidR="0086685A" w:rsidRPr="00DD67AF">
              <w:rPr>
                <w:rFonts w:ascii="Arial" w:hAnsi="Arial" w:cs="Arial"/>
                <w:b w:val="0"/>
                <w:sz w:val="24"/>
                <w:szCs w:val="24"/>
              </w:rPr>
              <w:t>Number</w:t>
            </w:r>
            <w:r w:rsidRPr="00DD67AF">
              <w:rPr>
                <w:rFonts w:ascii="Arial" w:hAnsi="Arial" w:cs="Arial"/>
                <w:b w:val="0"/>
                <w:sz w:val="24"/>
                <w:szCs w:val="24"/>
              </w:rPr>
              <w:t>:</w:t>
            </w:r>
          </w:p>
        </w:tc>
        <w:tc>
          <w:tcPr>
            <w:tcW w:w="7371" w:type="dxa"/>
            <w:gridSpan w:val="4"/>
          </w:tcPr>
          <w:p w:rsidR="001B2160" w:rsidRPr="00DD67AF" w:rsidRDefault="009E04A8" w:rsidP="002D6AA8">
            <w:pPr>
              <w:rPr>
                <w:rFonts w:cs="Arial"/>
                <w:szCs w:val="24"/>
              </w:rPr>
            </w:pPr>
            <w:bookmarkStart w:id="9" w:name="ReportReference"/>
            <w:bookmarkEnd w:id="9"/>
            <w:r>
              <w:rPr>
                <w:rFonts w:cs="Arial"/>
                <w:szCs w:val="24"/>
              </w:rPr>
              <w:t>PC 0</w:t>
            </w:r>
            <w:r w:rsidR="002D6AA8">
              <w:rPr>
                <w:rFonts w:cs="Arial"/>
                <w:szCs w:val="24"/>
              </w:rPr>
              <w:t>9</w:t>
            </w:r>
            <w:r>
              <w:rPr>
                <w:rFonts w:cs="Arial"/>
                <w:szCs w:val="24"/>
              </w:rPr>
              <w:t>/14</w:t>
            </w:r>
          </w:p>
        </w:tc>
      </w:tr>
    </w:tbl>
    <w:p w:rsidR="001B2160" w:rsidRDefault="001B2160">
      <w:pPr>
        <w:pStyle w:val="Header"/>
        <w:tabs>
          <w:tab w:val="clear" w:pos="4153"/>
          <w:tab w:val="clear" w:pos="8306"/>
        </w:tabs>
        <w:rPr>
          <w:rFonts w:cs="Arial"/>
          <w:b/>
          <w:szCs w:val="24"/>
        </w:rPr>
      </w:pPr>
    </w:p>
    <w:p w:rsidR="00012DEF" w:rsidRDefault="00012DEF">
      <w:pPr>
        <w:pStyle w:val="Header"/>
        <w:tabs>
          <w:tab w:val="clear" w:pos="4153"/>
          <w:tab w:val="clear" w:pos="8306"/>
        </w:tabs>
        <w:rPr>
          <w:rFonts w:cs="Arial"/>
          <w:b/>
          <w:szCs w:val="24"/>
        </w:rPr>
      </w:pPr>
    </w:p>
    <w:p w:rsidR="00012DEF" w:rsidRDefault="00012DEF" w:rsidP="00EB1683">
      <w:pPr>
        <w:pStyle w:val="Header"/>
        <w:tabs>
          <w:tab w:val="clear" w:pos="4153"/>
          <w:tab w:val="clear" w:pos="8306"/>
        </w:tabs>
        <w:rPr>
          <w:rFonts w:cs="Arial"/>
          <w:b/>
          <w:szCs w:val="24"/>
        </w:rPr>
      </w:pPr>
    </w:p>
    <w:p w:rsidR="00EB1683" w:rsidRPr="00DD67AF" w:rsidRDefault="00EB1683" w:rsidP="00EB1683">
      <w:pPr>
        <w:pStyle w:val="Header"/>
        <w:tabs>
          <w:tab w:val="clear" w:pos="4153"/>
          <w:tab w:val="clear" w:pos="8306"/>
        </w:tabs>
        <w:rPr>
          <w:rFonts w:cs="Arial"/>
          <w:b/>
          <w:szCs w:val="24"/>
        </w:rPr>
      </w:pPr>
      <w:r w:rsidRPr="00DD67AF">
        <w:rPr>
          <w:rFonts w:cs="Arial"/>
          <w:b/>
          <w:szCs w:val="24"/>
        </w:rPr>
        <w:t>Purpose / Summary:</w:t>
      </w:r>
    </w:p>
    <w:p w:rsidR="00012DEF" w:rsidRPr="00CC2105" w:rsidRDefault="00EB1683" w:rsidP="00012DEF">
      <w:pPr>
        <w:tabs>
          <w:tab w:val="left" w:pos="1418"/>
        </w:tabs>
        <w:rPr>
          <w:rFonts w:cs="Arial"/>
          <w:szCs w:val="24"/>
        </w:rPr>
      </w:pPr>
      <w:r>
        <w:rPr>
          <w:szCs w:val="24"/>
        </w:rPr>
        <w:t>T</w:t>
      </w:r>
      <w:r w:rsidR="00012DEF">
        <w:rPr>
          <w:szCs w:val="24"/>
        </w:rPr>
        <w:t>his report outlines</w:t>
      </w:r>
      <w:r>
        <w:rPr>
          <w:szCs w:val="24"/>
        </w:rPr>
        <w:t xml:space="preserve"> proposals to review the Comprehensive Equality Scheme and equality objectives, to enable the Council to continue to fulfil the Public Sector Equality Duty.</w:t>
      </w:r>
      <w:r w:rsidR="00012DEF">
        <w:rPr>
          <w:szCs w:val="24"/>
        </w:rPr>
        <w:t xml:space="preserve"> It also provides an overview of the </w:t>
      </w:r>
      <w:r w:rsidR="00012DEF">
        <w:rPr>
          <w:rFonts w:cs="Arial"/>
          <w:szCs w:val="24"/>
        </w:rPr>
        <w:t>progress of equality work since 2012 (Appendix 1).</w:t>
      </w:r>
    </w:p>
    <w:p w:rsidR="00EB1683" w:rsidRDefault="00EB1683" w:rsidP="00EB1683">
      <w:pPr>
        <w:pStyle w:val="Header"/>
        <w:tabs>
          <w:tab w:val="clear" w:pos="4153"/>
          <w:tab w:val="clear" w:pos="8306"/>
        </w:tabs>
        <w:rPr>
          <w:szCs w:val="24"/>
        </w:rPr>
      </w:pPr>
    </w:p>
    <w:p w:rsidR="00EB1683" w:rsidRPr="00DD67AF" w:rsidRDefault="00EB1683" w:rsidP="00EB1683">
      <w:pPr>
        <w:pStyle w:val="Header"/>
        <w:tabs>
          <w:tab w:val="clear" w:pos="4153"/>
          <w:tab w:val="clear" w:pos="8306"/>
        </w:tabs>
        <w:rPr>
          <w:rFonts w:cs="Arial"/>
          <w:b/>
          <w:szCs w:val="24"/>
        </w:rPr>
      </w:pPr>
    </w:p>
    <w:p w:rsidR="00EB1683" w:rsidRPr="00DD67AF" w:rsidRDefault="00EB1683" w:rsidP="00EB1683">
      <w:pPr>
        <w:pStyle w:val="Header"/>
        <w:tabs>
          <w:tab w:val="clear" w:pos="4153"/>
          <w:tab w:val="clear" w:pos="8306"/>
        </w:tabs>
        <w:rPr>
          <w:rFonts w:cs="Arial"/>
          <w:b/>
          <w:szCs w:val="24"/>
        </w:rPr>
      </w:pPr>
      <w:r w:rsidRPr="00DD67AF">
        <w:rPr>
          <w:rFonts w:cs="Arial"/>
          <w:b/>
          <w:szCs w:val="24"/>
        </w:rPr>
        <w:t>Recommendations:</w:t>
      </w:r>
    </w:p>
    <w:p w:rsidR="00EB1683" w:rsidRDefault="00EB1683" w:rsidP="00EB1683">
      <w:pPr>
        <w:rPr>
          <w:szCs w:val="24"/>
        </w:rPr>
      </w:pPr>
      <w:r>
        <w:rPr>
          <w:szCs w:val="24"/>
        </w:rPr>
        <w:t xml:space="preserve">The </w:t>
      </w:r>
      <w:r w:rsidR="00012DEF">
        <w:rPr>
          <w:szCs w:val="24"/>
        </w:rPr>
        <w:t>Panel</w:t>
      </w:r>
      <w:r>
        <w:rPr>
          <w:szCs w:val="24"/>
        </w:rPr>
        <w:t xml:space="preserve"> are asked to note and comment on the proposals for the Public Sector Equality Duty review.</w:t>
      </w:r>
    </w:p>
    <w:p w:rsidR="00EB1683" w:rsidRDefault="00EB1683" w:rsidP="00EB1683">
      <w:pPr>
        <w:pStyle w:val="Header"/>
        <w:tabs>
          <w:tab w:val="clear" w:pos="4153"/>
          <w:tab w:val="clear" w:pos="8306"/>
        </w:tabs>
        <w:rPr>
          <w:rFonts w:cs="Arial"/>
          <w:szCs w:val="24"/>
        </w:rPr>
      </w:pPr>
    </w:p>
    <w:p w:rsidR="00EB1683" w:rsidRDefault="00EB1683" w:rsidP="00EB1683">
      <w:pPr>
        <w:pStyle w:val="Header"/>
        <w:tabs>
          <w:tab w:val="clear" w:pos="4153"/>
          <w:tab w:val="clear" w:pos="8306"/>
        </w:tabs>
        <w:rPr>
          <w:rFonts w:cs="Arial"/>
          <w:szCs w:val="24"/>
        </w:rPr>
      </w:pPr>
    </w:p>
    <w:p w:rsidR="00012DEF" w:rsidRDefault="00012DEF" w:rsidP="00EB1683">
      <w:pPr>
        <w:pStyle w:val="Header"/>
        <w:tabs>
          <w:tab w:val="clear" w:pos="4153"/>
          <w:tab w:val="clear" w:pos="8306"/>
        </w:tabs>
        <w:rPr>
          <w:rFonts w:cs="Arial"/>
          <w:szCs w:val="24"/>
        </w:rPr>
      </w:pPr>
    </w:p>
    <w:p w:rsidR="00EB1683" w:rsidRPr="00DD67AF" w:rsidRDefault="00EB1683" w:rsidP="00EB1683">
      <w:pPr>
        <w:pStyle w:val="Header"/>
        <w:tabs>
          <w:tab w:val="clear" w:pos="4153"/>
          <w:tab w:val="clear" w:pos="8306"/>
        </w:tabs>
        <w:rPr>
          <w:rFonts w:cs="Arial"/>
          <w:b/>
          <w:szCs w:val="24"/>
        </w:rPr>
      </w:pPr>
      <w:r w:rsidRPr="00DD67AF">
        <w:rPr>
          <w:rFonts w:cs="Arial"/>
          <w:b/>
          <w:szCs w:val="24"/>
        </w:rPr>
        <w:t>Tracking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7"/>
        <w:gridCol w:w="6587"/>
      </w:tblGrid>
      <w:tr w:rsidR="00EB1683" w:rsidRPr="00DD67AF" w:rsidTr="00EB1683">
        <w:tc>
          <w:tcPr>
            <w:tcW w:w="3267" w:type="dxa"/>
          </w:tcPr>
          <w:p w:rsidR="00EB1683" w:rsidRPr="00DD67AF" w:rsidRDefault="00EB1683" w:rsidP="00EB1683">
            <w:pPr>
              <w:pStyle w:val="Header"/>
              <w:tabs>
                <w:tab w:val="clear" w:pos="4153"/>
                <w:tab w:val="clear" w:pos="8306"/>
              </w:tabs>
              <w:rPr>
                <w:rFonts w:cs="Arial"/>
                <w:szCs w:val="24"/>
              </w:rPr>
            </w:pPr>
            <w:r w:rsidRPr="00DD67AF">
              <w:rPr>
                <w:rFonts w:cs="Arial"/>
                <w:szCs w:val="24"/>
              </w:rPr>
              <w:t>Executive:</w:t>
            </w:r>
          </w:p>
        </w:tc>
        <w:tc>
          <w:tcPr>
            <w:tcW w:w="6587" w:type="dxa"/>
          </w:tcPr>
          <w:p w:rsidR="00EB1683" w:rsidRPr="008E1D60" w:rsidRDefault="00EB1683" w:rsidP="00EB1683">
            <w:pPr>
              <w:pStyle w:val="Header"/>
              <w:tabs>
                <w:tab w:val="clear" w:pos="4153"/>
                <w:tab w:val="clear" w:pos="8306"/>
              </w:tabs>
              <w:rPr>
                <w:rFonts w:cs="Arial"/>
                <w:szCs w:val="24"/>
              </w:rPr>
            </w:pPr>
            <w:r>
              <w:rPr>
                <w:rFonts w:cs="Arial"/>
                <w:szCs w:val="24"/>
              </w:rPr>
              <w:t>15 September 2014</w:t>
            </w:r>
          </w:p>
        </w:tc>
      </w:tr>
    </w:tbl>
    <w:p w:rsidR="00EB1683" w:rsidRPr="00DD67AF" w:rsidRDefault="00EB1683">
      <w:pPr>
        <w:pStyle w:val="Header"/>
        <w:tabs>
          <w:tab w:val="clear" w:pos="4153"/>
          <w:tab w:val="clear" w:pos="8306"/>
        </w:tabs>
        <w:rPr>
          <w:rFonts w:cs="Arial"/>
          <w:b/>
          <w:szCs w:val="24"/>
        </w:rPr>
      </w:pPr>
    </w:p>
    <w:p w:rsidR="009E04A8" w:rsidRDefault="009E04A8" w:rsidP="009E04A8">
      <w:pPr>
        <w:pStyle w:val="Header"/>
        <w:spacing w:line="360" w:lineRule="auto"/>
        <w:rPr>
          <w:rFonts w:cs="Arial"/>
          <w:szCs w:val="24"/>
        </w:rPr>
      </w:pPr>
      <w:r>
        <w:rPr>
          <w:rFonts w:cs="Arial"/>
          <w:szCs w:val="24"/>
        </w:rPr>
        <w:t>.</w:t>
      </w:r>
    </w:p>
    <w:p w:rsidR="0086685A" w:rsidRPr="00DD67AF" w:rsidRDefault="0086685A" w:rsidP="0086685A">
      <w:pPr>
        <w:pStyle w:val="Header"/>
        <w:tabs>
          <w:tab w:val="clear" w:pos="4153"/>
          <w:tab w:val="clear" w:pos="8306"/>
        </w:tabs>
        <w:rPr>
          <w:rFonts w:cs="Arial"/>
          <w:b/>
          <w:szCs w:val="24"/>
        </w:rPr>
      </w:pPr>
      <w:r w:rsidRPr="00DD67AF">
        <w:rPr>
          <w:rFonts w:cs="Arial"/>
          <w:b/>
          <w:szCs w:val="24"/>
        </w:rPr>
        <w:br w:type="page"/>
      </w:r>
    </w:p>
    <w:p w:rsidR="00B12638" w:rsidRPr="00DD67AF" w:rsidRDefault="00B12638" w:rsidP="00B12638">
      <w:pPr>
        <w:tabs>
          <w:tab w:val="left" w:pos="709"/>
        </w:tabs>
        <w:rPr>
          <w:rFonts w:cs="Arial"/>
          <w:b/>
          <w:szCs w:val="24"/>
        </w:rPr>
      </w:pPr>
      <w:r w:rsidRPr="00DD67AF">
        <w:rPr>
          <w:rFonts w:cs="Arial"/>
          <w:b/>
          <w:szCs w:val="24"/>
        </w:rPr>
        <w:lastRenderedPageBreak/>
        <w:t>1.</w:t>
      </w:r>
      <w:r w:rsidRPr="00DD67AF">
        <w:rPr>
          <w:rFonts w:cs="Arial"/>
          <w:b/>
          <w:szCs w:val="24"/>
        </w:rPr>
        <w:tab/>
        <w:t>BACKGROUND</w:t>
      </w:r>
    </w:p>
    <w:p w:rsidR="00B12638" w:rsidRDefault="00B12638" w:rsidP="00B12638">
      <w:pPr>
        <w:rPr>
          <w:rFonts w:cs="Arial"/>
          <w:b/>
          <w:szCs w:val="24"/>
        </w:rPr>
      </w:pPr>
    </w:p>
    <w:p w:rsidR="00B12638" w:rsidRPr="00EC0193" w:rsidRDefault="00B12638" w:rsidP="00B12638">
      <w:pPr>
        <w:rPr>
          <w:szCs w:val="24"/>
        </w:rPr>
      </w:pPr>
      <w:r w:rsidRPr="00EC0193">
        <w:rPr>
          <w:szCs w:val="24"/>
        </w:rPr>
        <w:t xml:space="preserve">The Equalities Act (2010) replaced the previous anti-discrimination laws with </w:t>
      </w:r>
      <w:r>
        <w:rPr>
          <w:szCs w:val="24"/>
        </w:rPr>
        <w:t xml:space="preserve">a </w:t>
      </w:r>
      <w:r w:rsidRPr="00EC0193">
        <w:rPr>
          <w:szCs w:val="24"/>
        </w:rPr>
        <w:t xml:space="preserve">single Act.  A key measure in the Act is the Public Sector Equality Duty which came into force in April </w:t>
      </w:r>
      <w:r>
        <w:rPr>
          <w:szCs w:val="24"/>
        </w:rPr>
        <w:t>2011.  This duty ensures that</w:t>
      </w:r>
      <w:r w:rsidRPr="00EC0193">
        <w:rPr>
          <w:szCs w:val="24"/>
        </w:rPr>
        <w:t xml:space="preserve"> public bodies tackle discrimination and provide equality of opportunity for all.</w:t>
      </w:r>
    </w:p>
    <w:p w:rsidR="00B12638" w:rsidRDefault="00B12638" w:rsidP="00B12638">
      <w:pPr>
        <w:rPr>
          <w:rFonts w:cs="Arial"/>
          <w:szCs w:val="24"/>
        </w:rPr>
      </w:pPr>
    </w:p>
    <w:p w:rsidR="00B12638" w:rsidRDefault="00B12638" w:rsidP="00B12638">
      <w:pPr>
        <w:rPr>
          <w:rFonts w:cs="Arial"/>
          <w:szCs w:val="24"/>
        </w:rPr>
      </w:pPr>
      <w:r>
        <w:rPr>
          <w:rFonts w:cs="Arial"/>
          <w:szCs w:val="24"/>
        </w:rPr>
        <w:t>The Council must have due regard to the need to:</w:t>
      </w:r>
    </w:p>
    <w:p w:rsidR="00B12638" w:rsidRPr="00EC0193" w:rsidRDefault="00B12638" w:rsidP="00B12638">
      <w:pPr>
        <w:pStyle w:val="ListParagraph"/>
        <w:numPr>
          <w:ilvl w:val="0"/>
          <w:numId w:val="24"/>
        </w:numPr>
        <w:ind w:hanging="436"/>
        <w:rPr>
          <w:szCs w:val="24"/>
        </w:rPr>
      </w:pPr>
      <w:r w:rsidRPr="00EC0193">
        <w:rPr>
          <w:szCs w:val="24"/>
        </w:rPr>
        <w:t>Eliminate unlawful discrimination, harassment and victimisation and other conduct prohibited by the Act.</w:t>
      </w:r>
    </w:p>
    <w:p w:rsidR="00B12638" w:rsidRPr="00EC0193" w:rsidRDefault="00B12638" w:rsidP="00B12638">
      <w:pPr>
        <w:pStyle w:val="ListParagraph"/>
        <w:numPr>
          <w:ilvl w:val="0"/>
          <w:numId w:val="24"/>
        </w:numPr>
        <w:ind w:hanging="436"/>
        <w:rPr>
          <w:szCs w:val="24"/>
        </w:rPr>
      </w:pPr>
      <w:r w:rsidRPr="00EC0193">
        <w:rPr>
          <w:szCs w:val="24"/>
        </w:rPr>
        <w:t>Advance equality of opportunity between people who share a protected characteristic and those who do not.</w:t>
      </w:r>
    </w:p>
    <w:p w:rsidR="00B12638" w:rsidRPr="00EC0193" w:rsidRDefault="00B12638" w:rsidP="00B12638">
      <w:pPr>
        <w:pStyle w:val="ListParagraph"/>
        <w:numPr>
          <w:ilvl w:val="0"/>
          <w:numId w:val="24"/>
        </w:numPr>
        <w:ind w:hanging="436"/>
        <w:rPr>
          <w:szCs w:val="24"/>
        </w:rPr>
      </w:pPr>
      <w:r w:rsidRPr="00EC0193">
        <w:rPr>
          <w:szCs w:val="24"/>
        </w:rPr>
        <w:t>Foster good relations between people who share a protected characteristic and those who do not.</w:t>
      </w:r>
    </w:p>
    <w:p w:rsidR="00B12638" w:rsidRDefault="00B12638" w:rsidP="00B12638">
      <w:pPr>
        <w:rPr>
          <w:rFonts w:cs="Arial"/>
          <w:szCs w:val="24"/>
        </w:rPr>
      </w:pPr>
    </w:p>
    <w:p w:rsidR="00B12638" w:rsidRDefault="00B12638" w:rsidP="00B12638">
      <w:pPr>
        <w:rPr>
          <w:rFonts w:cs="Arial"/>
          <w:szCs w:val="24"/>
        </w:rPr>
      </w:pPr>
      <w:r>
        <w:rPr>
          <w:rFonts w:cs="Arial"/>
          <w:szCs w:val="24"/>
        </w:rPr>
        <w:t>The Council must also:</w:t>
      </w:r>
    </w:p>
    <w:p w:rsidR="00B12638" w:rsidRDefault="00B12638" w:rsidP="00B12638">
      <w:pPr>
        <w:pStyle w:val="ListParagraph"/>
        <w:numPr>
          <w:ilvl w:val="0"/>
          <w:numId w:val="22"/>
        </w:numPr>
        <w:ind w:left="709" w:hanging="283"/>
        <w:rPr>
          <w:rFonts w:cs="Arial"/>
          <w:szCs w:val="24"/>
        </w:rPr>
      </w:pPr>
      <w:proofErr w:type="gramStart"/>
      <w:r>
        <w:rPr>
          <w:rFonts w:cs="Arial"/>
          <w:szCs w:val="24"/>
        </w:rPr>
        <w:t>publish</w:t>
      </w:r>
      <w:proofErr w:type="gramEnd"/>
      <w:r>
        <w:rPr>
          <w:rFonts w:cs="Arial"/>
          <w:szCs w:val="24"/>
        </w:rPr>
        <w:t xml:space="preserve"> information to demonstrate our compliance with the Equality Duty, at least annually.</w:t>
      </w:r>
    </w:p>
    <w:p w:rsidR="00B12638" w:rsidRPr="00AD4794" w:rsidRDefault="00B12638" w:rsidP="00B12638">
      <w:pPr>
        <w:pStyle w:val="ListParagraph"/>
        <w:numPr>
          <w:ilvl w:val="0"/>
          <w:numId w:val="22"/>
        </w:numPr>
        <w:ind w:left="426" w:firstLine="0"/>
        <w:rPr>
          <w:rFonts w:cs="Arial"/>
          <w:szCs w:val="24"/>
        </w:rPr>
      </w:pPr>
      <w:proofErr w:type="gramStart"/>
      <w:r>
        <w:rPr>
          <w:rFonts w:cs="Arial"/>
          <w:szCs w:val="24"/>
        </w:rPr>
        <w:t>set</w:t>
      </w:r>
      <w:proofErr w:type="gramEnd"/>
      <w:r>
        <w:rPr>
          <w:rFonts w:cs="Arial"/>
          <w:szCs w:val="24"/>
        </w:rPr>
        <w:t xml:space="preserve"> equality objectives, at least every four years.</w:t>
      </w:r>
    </w:p>
    <w:p w:rsidR="00B12638" w:rsidRDefault="00B12638" w:rsidP="00B12638">
      <w:pPr>
        <w:rPr>
          <w:rFonts w:cs="Arial"/>
          <w:szCs w:val="24"/>
        </w:rPr>
      </w:pPr>
    </w:p>
    <w:p w:rsidR="00B12638" w:rsidRDefault="00B12638" w:rsidP="00B12638">
      <w:r>
        <w:rPr>
          <w:rFonts w:cs="Arial"/>
          <w:szCs w:val="24"/>
        </w:rPr>
        <w:t xml:space="preserve">The Council’s </w:t>
      </w:r>
      <w:r>
        <w:t xml:space="preserve">Comprehensive Equality Scheme outlines how we meet the duties of the Equality Act.  The scheme was adopted by the Council in September 2010 and updated in April 2011, following a successful peer assessment where the Council reached the Achieving level of the Equality Framework for Local Government. </w:t>
      </w:r>
    </w:p>
    <w:p w:rsidR="00B12638" w:rsidRPr="00985313" w:rsidRDefault="00B12638" w:rsidP="00B12638">
      <w:pPr>
        <w:spacing w:before="100" w:beforeAutospacing="1" w:after="100" w:afterAutospacing="1" w:line="240" w:lineRule="auto"/>
        <w:rPr>
          <w:rFonts w:cs="Arial"/>
          <w:szCs w:val="24"/>
        </w:rPr>
      </w:pPr>
      <w:r w:rsidRPr="00985313">
        <w:rPr>
          <w:rFonts w:cs="Arial"/>
        </w:rPr>
        <w:t xml:space="preserve">In 2012, the Council set its equality objectives </w:t>
      </w:r>
      <w:r w:rsidRPr="00985313">
        <w:rPr>
          <w:rFonts w:cs="Arial"/>
          <w:szCs w:val="24"/>
        </w:rPr>
        <w:t>for the 3 year period 2012-2015 as:</w:t>
      </w:r>
    </w:p>
    <w:p w:rsidR="00B12638" w:rsidRPr="001F618A" w:rsidRDefault="00B12638" w:rsidP="00B12638">
      <w:pPr>
        <w:pStyle w:val="ListParagraph"/>
        <w:numPr>
          <w:ilvl w:val="0"/>
          <w:numId w:val="23"/>
        </w:numPr>
        <w:tabs>
          <w:tab w:val="left" w:pos="1418"/>
        </w:tabs>
        <w:rPr>
          <w:rFonts w:cs="Arial"/>
          <w:szCs w:val="24"/>
        </w:rPr>
      </w:pPr>
      <w:r w:rsidRPr="001F618A">
        <w:rPr>
          <w:rFonts w:cs="Arial"/>
          <w:szCs w:val="24"/>
        </w:rPr>
        <w:t>Improve the quality and volume of our customer information</w:t>
      </w:r>
      <w:r>
        <w:rPr>
          <w:rFonts w:cs="Arial"/>
          <w:szCs w:val="24"/>
        </w:rPr>
        <w:t>.</w:t>
      </w:r>
      <w:r w:rsidRPr="001F618A">
        <w:rPr>
          <w:rFonts w:cs="Arial"/>
          <w:szCs w:val="24"/>
        </w:rPr>
        <w:t xml:space="preserve"> </w:t>
      </w:r>
    </w:p>
    <w:p w:rsidR="00B12638" w:rsidRPr="001F618A" w:rsidRDefault="00B12638" w:rsidP="00B12638">
      <w:pPr>
        <w:pStyle w:val="ListParagraph"/>
        <w:numPr>
          <w:ilvl w:val="0"/>
          <w:numId w:val="23"/>
        </w:numPr>
        <w:tabs>
          <w:tab w:val="left" w:pos="1418"/>
        </w:tabs>
        <w:rPr>
          <w:rFonts w:cs="Arial"/>
          <w:szCs w:val="24"/>
        </w:rPr>
      </w:pPr>
      <w:r w:rsidRPr="001F618A">
        <w:rPr>
          <w:rFonts w:cs="Arial"/>
          <w:szCs w:val="24"/>
        </w:rPr>
        <w:t>Improve access and inclusion for all our services and across our partnerships</w:t>
      </w:r>
      <w:r>
        <w:rPr>
          <w:rFonts w:cs="Arial"/>
          <w:szCs w:val="24"/>
        </w:rPr>
        <w:t>.</w:t>
      </w:r>
      <w:r w:rsidRPr="001F618A">
        <w:rPr>
          <w:rFonts w:cs="Arial"/>
          <w:szCs w:val="24"/>
        </w:rPr>
        <w:t xml:space="preserve"> </w:t>
      </w:r>
    </w:p>
    <w:p w:rsidR="00B12638" w:rsidRDefault="00B12638" w:rsidP="00B12638">
      <w:pPr>
        <w:pStyle w:val="ListParagraph"/>
        <w:numPr>
          <w:ilvl w:val="0"/>
          <w:numId w:val="23"/>
        </w:numPr>
        <w:tabs>
          <w:tab w:val="left" w:pos="1418"/>
        </w:tabs>
        <w:rPr>
          <w:rFonts w:cs="Arial"/>
          <w:szCs w:val="24"/>
        </w:rPr>
      </w:pPr>
      <w:r w:rsidRPr="001F618A">
        <w:rPr>
          <w:rFonts w:cs="Arial"/>
          <w:szCs w:val="24"/>
        </w:rPr>
        <w:t>Diffuse community tensions and promote understanding</w:t>
      </w:r>
      <w:r>
        <w:rPr>
          <w:rFonts w:cs="Arial"/>
          <w:szCs w:val="24"/>
        </w:rPr>
        <w:t>.</w:t>
      </w:r>
      <w:r w:rsidRPr="001F618A">
        <w:rPr>
          <w:rFonts w:cs="Arial"/>
          <w:szCs w:val="24"/>
        </w:rPr>
        <w:t xml:space="preserve"> </w:t>
      </w:r>
    </w:p>
    <w:p w:rsidR="00B12638" w:rsidRDefault="00B12638" w:rsidP="00B12638">
      <w:pPr>
        <w:tabs>
          <w:tab w:val="left" w:pos="1418"/>
        </w:tabs>
        <w:rPr>
          <w:rFonts w:cs="Arial"/>
          <w:szCs w:val="24"/>
        </w:rPr>
      </w:pPr>
    </w:p>
    <w:p w:rsidR="00B12638" w:rsidRPr="00CC2105" w:rsidRDefault="00B12638" w:rsidP="00B12638">
      <w:pPr>
        <w:tabs>
          <w:tab w:val="left" w:pos="1418"/>
        </w:tabs>
        <w:rPr>
          <w:rFonts w:cs="Arial"/>
          <w:szCs w:val="24"/>
        </w:rPr>
      </w:pPr>
      <w:r>
        <w:rPr>
          <w:rFonts w:cs="Arial"/>
          <w:szCs w:val="24"/>
        </w:rPr>
        <w:t>It is an appropriate time for the Council to review its approach to equality and ensure that it reflects current legislation and best practice.  Further information about the progress of equality work since 2012 is provided in Appendix 1.</w:t>
      </w:r>
    </w:p>
    <w:p w:rsidR="00B12638" w:rsidRDefault="00B12638" w:rsidP="00B12638">
      <w:pPr>
        <w:tabs>
          <w:tab w:val="left" w:pos="709"/>
        </w:tabs>
        <w:rPr>
          <w:rFonts w:cs="Arial"/>
          <w:b/>
          <w:szCs w:val="24"/>
        </w:rPr>
      </w:pPr>
    </w:p>
    <w:p w:rsidR="00B12638" w:rsidRPr="00DD67AF" w:rsidRDefault="00B12638" w:rsidP="00B12638">
      <w:pPr>
        <w:tabs>
          <w:tab w:val="left" w:pos="709"/>
        </w:tabs>
        <w:rPr>
          <w:rFonts w:cs="Arial"/>
          <w:b/>
          <w:szCs w:val="24"/>
        </w:rPr>
      </w:pPr>
      <w:r w:rsidRPr="00DD67AF">
        <w:rPr>
          <w:rFonts w:cs="Arial"/>
          <w:b/>
          <w:szCs w:val="24"/>
        </w:rPr>
        <w:t>2.</w:t>
      </w:r>
      <w:r w:rsidRPr="00DD67AF">
        <w:rPr>
          <w:rFonts w:cs="Arial"/>
          <w:b/>
          <w:szCs w:val="24"/>
        </w:rPr>
        <w:tab/>
        <w:t>PROPOSALS</w:t>
      </w:r>
    </w:p>
    <w:p w:rsidR="00B12638" w:rsidRDefault="00B12638" w:rsidP="00B12638">
      <w:pPr>
        <w:tabs>
          <w:tab w:val="left" w:pos="709"/>
        </w:tabs>
        <w:rPr>
          <w:rFonts w:cs="Arial"/>
          <w:b/>
          <w:szCs w:val="24"/>
        </w:rPr>
      </w:pPr>
    </w:p>
    <w:p w:rsidR="00B12638" w:rsidRDefault="00B12638" w:rsidP="00B12638">
      <w:pPr>
        <w:tabs>
          <w:tab w:val="left" w:pos="0"/>
        </w:tabs>
        <w:rPr>
          <w:rFonts w:cs="Arial"/>
          <w:szCs w:val="24"/>
        </w:rPr>
      </w:pPr>
      <w:r w:rsidRPr="009E7593">
        <w:rPr>
          <w:rFonts w:cs="Arial"/>
          <w:szCs w:val="24"/>
        </w:rPr>
        <w:t>The</w:t>
      </w:r>
      <w:r>
        <w:rPr>
          <w:rFonts w:cs="Arial"/>
          <w:szCs w:val="24"/>
        </w:rPr>
        <w:t xml:space="preserve"> aim of the review is to refresh the Council’s approach to equality to ensure it </w:t>
      </w:r>
      <w:r w:rsidRPr="009E7593">
        <w:rPr>
          <w:rFonts w:cs="Arial"/>
          <w:szCs w:val="24"/>
        </w:rPr>
        <w:t>continues to meet the Public Sector Equality Duty</w:t>
      </w:r>
      <w:r>
        <w:rPr>
          <w:rFonts w:cs="Arial"/>
          <w:szCs w:val="24"/>
        </w:rPr>
        <w:t xml:space="preserve">. It will look at </w:t>
      </w:r>
      <w:r w:rsidRPr="009E7593">
        <w:rPr>
          <w:rFonts w:cs="Arial"/>
          <w:szCs w:val="24"/>
        </w:rPr>
        <w:t xml:space="preserve">the </w:t>
      </w:r>
      <w:r>
        <w:rPr>
          <w:rFonts w:cs="Arial"/>
          <w:szCs w:val="24"/>
        </w:rPr>
        <w:t xml:space="preserve">Comprehensive Equality Scheme, equality objectives, </w:t>
      </w:r>
      <w:r w:rsidRPr="009E7593">
        <w:rPr>
          <w:rFonts w:cs="Arial"/>
          <w:szCs w:val="24"/>
        </w:rPr>
        <w:t>equality impact assessment process</w:t>
      </w:r>
      <w:r>
        <w:rPr>
          <w:rFonts w:cs="Arial"/>
          <w:szCs w:val="24"/>
        </w:rPr>
        <w:t xml:space="preserve"> and equality information the Council publishes to identify how we can improve our performance.</w:t>
      </w:r>
    </w:p>
    <w:p w:rsidR="00B12638" w:rsidRDefault="00B12638" w:rsidP="00B12638">
      <w:pPr>
        <w:pStyle w:val="ListParagraph"/>
        <w:tabs>
          <w:tab w:val="left" w:pos="709"/>
        </w:tabs>
        <w:ind w:left="1425"/>
        <w:rPr>
          <w:rFonts w:cs="Arial"/>
          <w:szCs w:val="24"/>
        </w:rPr>
      </w:pPr>
    </w:p>
    <w:p w:rsidR="00B12638" w:rsidRDefault="00B12638" w:rsidP="00B12638">
      <w:pPr>
        <w:tabs>
          <w:tab w:val="left" w:pos="1418"/>
        </w:tabs>
        <w:rPr>
          <w:rFonts w:cs="Arial"/>
          <w:szCs w:val="24"/>
        </w:rPr>
      </w:pPr>
      <w:r>
        <w:rPr>
          <w:rFonts w:cs="Arial"/>
          <w:szCs w:val="24"/>
        </w:rPr>
        <w:t xml:space="preserve">This will be undertaken by considering a range of information including consultation with staff, community/user </w:t>
      </w:r>
      <w:proofErr w:type="gramStart"/>
      <w:r>
        <w:rPr>
          <w:rFonts w:cs="Arial"/>
          <w:szCs w:val="24"/>
        </w:rPr>
        <w:t>groups</w:t>
      </w:r>
      <w:proofErr w:type="gramEnd"/>
      <w:r>
        <w:rPr>
          <w:rFonts w:cs="Arial"/>
          <w:szCs w:val="24"/>
        </w:rPr>
        <w:t xml:space="preserve"> feedback, customer information and surveys.  The Council’s progress will be benchmarked against other local authorities and information available from the Equality and Human Rights Commission.  A</w:t>
      </w:r>
      <w:r w:rsidRPr="00351540">
        <w:rPr>
          <w:rFonts w:cs="Arial"/>
          <w:szCs w:val="24"/>
        </w:rPr>
        <w:t xml:space="preserve"> </w:t>
      </w:r>
      <w:r w:rsidRPr="009E7593">
        <w:rPr>
          <w:rFonts w:cs="Arial"/>
          <w:szCs w:val="24"/>
        </w:rPr>
        <w:t>Public Sector Equality Duty</w:t>
      </w:r>
      <w:r>
        <w:rPr>
          <w:rFonts w:cs="Arial"/>
          <w:szCs w:val="24"/>
        </w:rPr>
        <w:t xml:space="preserve"> </w:t>
      </w:r>
      <w:r w:rsidRPr="00351540">
        <w:rPr>
          <w:rFonts w:cs="Arial"/>
          <w:szCs w:val="24"/>
        </w:rPr>
        <w:t>training</w:t>
      </w:r>
      <w:r>
        <w:rPr>
          <w:rFonts w:cs="Arial"/>
          <w:szCs w:val="24"/>
        </w:rPr>
        <w:t xml:space="preserve"> session will be held in October 2014 to assist managers in implementing the duty.  Outcomes from this session will feed into the review.</w:t>
      </w:r>
    </w:p>
    <w:p w:rsidR="00B12638" w:rsidRDefault="00B12638" w:rsidP="00B12638">
      <w:pPr>
        <w:tabs>
          <w:tab w:val="left" w:pos="0"/>
        </w:tabs>
        <w:rPr>
          <w:rFonts w:cs="Arial"/>
          <w:szCs w:val="24"/>
        </w:rPr>
      </w:pPr>
    </w:p>
    <w:p w:rsidR="00B12638" w:rsidRPr="00351540" w:rsidRDefault="00B12638" w:rsidP="00B12638">
      <w:pPr>
        <w:tabs>
          <w:tab w:val="left" w:pos="0"/>
        </w:tabs>
        <w:rPr>
          <w:rFonts w:cs="Arial"/>
          <w:szCs w:val="24"/>
        </w:rPr>
      </w:pPr>
      <w:r>
        <w:rPr>
          <w:rFonts w:cs="Arial"/>
          <w:szCs w:val="24"/>
        </w:rPr>
        <w:t>The review will be ongoing throughout 2014/</w:t>
      </w:r>
      <w:proofErr w:type="gramStart"/>
      <w:r>
        <w:rPr>
          <w:rFonts w:cs="Arial"/>
          <w:szCs w:val="24"/>
        </w:rPr>
        <w:t>15,</w:t>
      </w:r>
      <w:proofErr w:type="gramEnd"/>
      <w:r>
        <w:rPr>
          <w:rFonts w:cs="Arial"/>
          <w:szCs w:val="24"/>
        </w:rPr>
        <w:t xml:space="preserve"> it is proposed that the r</w:t>
      </w:r>
      <w:r w:rsidR="00012DEF">
        <w:rPr>
          <w:rFonts w:cs="Arial"/>
          <w:szCs w:val="24"/>
        </w:rPr>
        <w:t>efreshed approach will</w:t>
      </w:r>
      <w:r>
        <w:rPr>
          <w:rFonts w:cs="Arial"/>
          <w:szCs w:val="24"/>
        </w:rPr>
        <w:t xml:space="preserve"> be brought back to the Executive in April 2015.  Community Overview and Scrutiny </w:t>
      </w:r>
      <w:r w:rsidR="00012DEF">
        <w:rPr>
          <w:rFonts w:cs="Arial"/>
          <w:szCs w:val="24"/>
        </w:rPr>
        <w:t xml:space="preserve">are asked to consider how they would like to be involved in the </w:t>
      </w:r>
      <w:r w:rsidR="00012DEF" w:rsidRPr="00012DEF">
        <w:rPr>
          <w:rFonts w:cs="Arial"/>
          <w:szCs w:val="24"/>
        </w:rPr>
        <w:t xml:space="preserve">review and </w:t>
      </w:r>
      <w:r w:rsidR="00012DEF">
        <w:rPr>
          <w:rFonts w:cs="Arial"/>
          <w:szCs w:val="24"/>
        </w:rPr>
        <w:t xml:space="preserve">developing </w:t>
      </w:r>
      <w:r>
        <w:rPr>
          <w:rFonts w:cs="Arial"/>
          <w:szCs w:val="24"/>
        </w:rPr>
        <w:t xml:space="preserve">the new approach.  </w:t>
      </w:r>
    </w:p>
    <w:p w:rsidR="00B12638" w:rsidRPr="00B56BF5" w:rsidRDefault="00B12638" w:rsidP="00B12638">
      <w:pPr>
        <w:tabs>
          <w:tab w:val="left" w:pos="1418"/>
        </w:tabs>
        <w:rPr>
          <w:rFonts w:cs="Arial"/>
          <w:szCs w:val="24"/>
        </w:rPr>
      </w:pPr>
    </w:p>
    <w:p w:rsidR="00B12638" w:rsidRPr="00DD67AF" w:rsidRDefault="00B12638" w:rsidP="00B12638">
      <w:pPr>
        <w:tabs>
          <w:tab w:val="left" w:pos="709"/>
        </w:tabs>
        <w:rPr>
          <w:rFonts w:cs="Arial"/>
          <w:b/>
          <w:szCs w:val="24"/>
        </w:rPr>
      </w:pPr>
      <w:r w:rsidRPr="00DD67AF">
        <w:rPr>
          <w:rFonts w:cs="Arial"/>
          <w:b/>
          <w:szCs w:val="24"/>
        </w:rPr>
        <w:t>3.</w:t>
      </w:r>
      <w:r w:rsidRPr="00DD67AF">
        <w:rPr>
          <w:rFonts w:cs="Arial"/>
          <w:b/>
          <w:szCs w:val="24"/>
        </w:rPr>
        <w:tab/>
        <w:t>CONSULTATION</w:t>
      </w:r>
    </w:p>
    <w:p w:rsidR="00B12638" w:rsidRPr="00EC0193" w:rsidRDefault="00B12638" w:rsidP="00B12638">
      <w:pPr>
        <w:rPr>
          <w:szCs w:val="24"/>
        </w:rPr>
      </w:pPr>
    </w:p>
    <w:p w:rsidR="00B12638" w:rsidRPr="009F504A" w:rsidRDefault="00B12638" w:rsidP="00B12638">
      <w:pPr>
        <w:rPr>
          <w:szCs w:val="24"/>
        </w:rPr>
      </w:pPr>
      <w:r w:rsidRPr="00EC0193">
        <w:rPr>
          <w:szCs w:val="24"/>
        </w:rPr>
        <w:t>Comments from the Scrutiny Panel will be presented at the Executive meeting</w:t>
      </w:r>
      <w:r w:rsidR="00D07F6D">
        <w:rPr>
          <w:szCs w:val="24"/>
        </w:rPr>
        <w:t xml:space="preserve"> on 15 September 2014</w:t>
      </w:r>
      <w:r>
        <w:rPr>
          <w:szCs w:val="24"/>
        </w:rPr>
        <w:t>.</w:t>
      </w:r>
    </w:p>
    <w:p w:rsidR="00B12638" w:rsidRPr="00DD67AF" w:rsidRDefault="00B12638" w:rsidP="00B12638">
      <w:pPr>
        <w:rPr>
          <w:rFonts w:cs="Arial"/>
          <w:b/>
          <w:szCs w:val="24"/>
        </w:rPr>
      </w:pPr>
    </w:p>
    <w:p w:rsidR="00B12638" w:rsidRPr="00DD67AF" w:rsidRDefault="00B12638" w:rsidP="00B12638">
      <w:pPr>
        <w:tabs>
          <w:tab w:val="left" w:pos="709"/>
        </w:tabs>
        <w:rPr>
          <w:rFonts w:cs="Arial"/>
          <w:b/>
          <w:szCs w:val="24"/>
        </w:rPr>
      </w:pPr>
      <w:r w:rsidRPr="00DD67AF">
        <w:rPr>
          <w:rFonts w:cs="Arial"/>
          <w:b/>
          <w:szCs w:val="24"/>
        </w:rPr>
        <w:t>4.</w:t>
      </w:r>
      <w:r w:rsidRPr="00DD67AF">
        <w:rPr>
          <w:rFonts w:cs="Arial"/>
          <w:b/>
          <w:szCs w:val="24"/>
        </w:rPr>
        <w:tab/>
        <w:t>CONCLUSION AND REASONS FOR RECOMMENDATIONS</w:t>
      </w:r>
    </w:p>
    <w:p w:rsidR="00B12638" w:rsidRPr="00DD67AF" w:rsidRDefault="00B12638" w:rsidP="00B12638">
      <w:pPr>
        <w:rPr>
          <w:rFonts w:cs="Arial"/>
          <w:b/>
          <w:szCs w:val="24"/>
        </w:rPr>
      </w:pPr>
    </w:p>
    <w:p w:rsidR="00B12638" w:rsidRDefault="00B12638" w:rsidP="00B12638">
      <w:pPr>
        <w:rPr>
          <w:szCs w:val="24"/>
        </w:rPr>
      </w:pPr>
      <w:r>
        <w:rPr>
          <w:szCs w:val="24"/>
        </w:rPr>
        <w:t xml:space="preserve">The </w:t>
      </w:r>
      <w:r w:rsidR="00D07F6D">
        <w:rPr>
          <w:szCs w:val="24"/>
        </w:rPr>
        <w:t xml:space="preserve">Panel </w:t>
      </w:r>
      <w:r>
        <w:rPr>
          <w:szCs w:val="24"/>
        </w:rPr>
        <w:t>are asked to note and comment on the proposals for the Public Sector Equality Duty review.</w:t>
      </w:r>
    </w:p>
    <w:p w:rsidR="00B12638" w:rsidRPr="00DD67AF" w:rsidRDefault="00B12638" w:rsidP="00B12638">
      <w:pPr>
        <w:rPr>
          <w:rFonts w:cs="Arial"/>
          <w:b/>
          <w:szCs w:val="24"/>
        </w:rPr>
      </w:pPr>
    </w:p>
    <w:p w:rsidR="00B12638" w:rsidRPr="00DD67AF" w:rsidRDefault="00B12638" w:rsidP="00B12638">
      <w:pPr>
        <w:tabs>
          <w:tab w:val="left" w:pos="709"/>
        </w:tabs>
        <w:rPr>
          <w:rFonts w:cs="Arial"/>
          <w:b/>
          <w:szCs w:val="24"/>
        </w:rPr>
      </w:pPr>
      <w:r w:rsidRPr="00DD67AF">
        <w:rPr>
          <w:rFonts w:cs="Arial"/>
          <w:b/>
          <w:szCs w:val="24"/>
        </w:rPr>
        <w:t>5.</w:t>
      </w:r>
      <w:r w:rsidRPr="00DD67AF">
        <w:rPr>
          <w:rFonts w:cs="Arial"/>
          <w:b/>
          <w:szCs w:val="24"/>
        </w:rPr>
        <w:tab/>
        <w:t>CONTRIBUTION TO THE CARLISLE PLAN PRIORITIES</w:t>
      </w:r>
    </w:p>
    <w:p w:rsidR="00B12638" w:rsidRDefault="00B12638" w:rsidP="00B12638">
      <w:pPr>
        <w:tabs>
          <w:tab w:val="num" w:pos="1063"/>
        </w:tabs>
        <w:rPr>
          <w:rFonts w:cs="Arial"/>
          <w:b/>
          <w:szCs w:val="24"/>
        </w:rPr>
      </w:pPr>
    </w:p>
    <w:p w:rsidR="00B12638" w:rsidRPr="0003235B" w:rsidRDefault="00B12638" w:rsidP="00B12638">
      <w:pPr>
        <w:tabs>
          <w:tab w:val="num" w:pos="1063"/>
        </w:tabs>
        <w:rPr>
          <w:rFonts w:cs="Arial"/>
          <w:szCs w:val="24"/>
        </w:rPr>
      </w:pPr>
      <w:r w:rsidRPr="0003235B">
        <w:rPr>
          <w:rFonts w:cs="Arial"/>
          <w:szCs w:val="24"/>
        </w:rPr>
        <w:t xml:space="preserve">The </w:t>
      </w:r>
      <w:r>
        <w:rPr>
          <w:rFonts w:cs="Arial"/>
          <w:szCs w:val="24"/>
        </w:rPr>
        <w:t>Public Sector Equality Duty supports the Carlisle Plan’s priorities by promoting equality of opportunity for all and encouraging a prosperous, vibrant city.</w:t>
      </w:r>
    </w:p>
    <w:p w:rsidR="00B12638" w:rsidRPr="00DD67AF" w:rsidRDefault="00B12638" w:rsidP="00B12638">
      <w:pPr>
        <w:rPr>
          <w:rFonts w:cs="Arial"/>
          <w:b/>
          <w:szCs w:val="24"/>
        </w:rPr>
      </w:pPr>
    </w:p>
    <w:tbl>
      <w:tblPr>
        <w:tblpPr w:leftFromText="180" w:rightFromText="180" w:vertAnchor="text" w:horzAnchor="margin" w:tblpY="13"/>
        <w:tblW w:w="9889" w:type="dxa"/>
        <w:tblLayout w:type="fixed"/>
        <w:tblLook w:val="0000"/>
      </w:tblPr>
      <w:tblGrid>
        <w:gridCol w:w="2518"/>
        <w:gridCol w:w="4253"/>
        <w:gridCol w:w="708"/>
        <w:gridCol w:w="2410"/>
      </w:tblGrid>
      <w:tr w:rsidR="00B12638" w:rsidRPr="00DD67AF" w:rsidTr="00012DEF">
        <w:tc>
          <w:tcPr>
            <w:tcW w:w="2518" w:type="dxa"/>
          </w:tcPr>
          <w:p w:rsidR="00B12638" w:rsidRPr="00DD67AF" w:rsidRDefault="00B12638" w:rsidP="00012DEF">
            <w:pPr>
              <w:rPr>
                <w:rFonts w:cs="Arial"/>
                <w:b/>
                <w:szCs w:val="24"/>
              </w:rPr>
            </w:pPr>
            <w:r w:rsidRPr="00DD67AF">
              <w:rPr>
                <w:rFonts w:cs="Arial"/>
                <w:b/>
                <w:szCs w:val="24"/>
              </w:rPr>
              <w:t>Contact Officer</w:t>
            </w:r>
            <w:r w:rsidRPr="00DD67AF">
              <w:rPr>
                <w:rFonts w:cs="Arial"/>
                <w:szCs w:val="24"/>
              </w:rPr>
              <w:t>:</w:t>
            </w:r>
            <w:bookmarkStart w:id="10" w:name="ContactOfficer"/>
            <w:bookmarkEnd w:id="10"/>
          </w:p>
        </w:tc>
        <w:tc>
          <w:tcPr>
            <w:tcW w:w="4253" w:type="dxa"/>
          </w:tcPr>
          <w:p w:rsidR="00B12638" w:rsidRPr="00DD67AF" w:rsidRDefault="00B12638" w:rsidP="00012DEF">
            <w:pPr>
              <w:rPr>
                <w:rFonts w:cs="Arial"/>
                <w:b/>
                <w:szCs w:val="24"/>
              </w:rPr>
            </w:pPr>
            <w:r>
              <w:rPr>
                <w:rFonts w:cs="Arial"/>
                <w:b/>
                <w:szCs w:val="24"/>
              </w:rPr>
              <w:t>Steven O’Keeffe</w:t>
            </w:r>
          </w:p>
        </w:tc>
        <w:tc>
          <w:tcPr>
            <w:tcW w:w="708" w:type="dxa"/>
          </w:tcPr>
          <w:p w:rsidR="00B12638" w:rsidRPr="00DD67AF" w:rsidRDefault="00B12638" w:rsidP="00012DEF">
            <w:pPr>
              <w:rPr>
                <w:rFonts w:cs="Arial"/>
                <w:b/>
                <w:szCs w:val="24"/>
              </w:rPr>
            </w:pPr>
            <w:r w:rsidRPr="00DD67AF">
              <w:rPr>
                <w:rFonts w:cs="Arial"/>
                <w:b/>
                <w:szCs w:val="24"/>
              </w:rPr>
              <w:t>Ext:</w:t>
            </w:r>
          </w:p>
        </w:tc>
        <w:tc>
          <w:tcPr>
            <w:tcW w:w="2410" w:type="dxa"/>
          </w:tcPr>
          <w:p w:rsidR="00B12638" w:rsidRPr="00DD67AF" w:rsidRDefault="00B12638" w:rsidP="00012DEF">
            <w:pPr>
              <w:rPr>
                <w:rFonts w:cs="Arial"/>
                <w:b/>
                <w:szCs w:val="24"/>
              </w:rPr>
            </w:pPr>
            <w:r>
              <w:rPr>
                <w:rFonts w:cs="Arial"/>
                <w:b/>
                <w:szCs w:val="24"/>
              </w:rPr>
              <w:t>7258</w:t>
            </w:r>
          </w:p>
        </w:tc>
      </w:tr>
    </w:tbl>
    <w:p w:rsidR="00B12638" w:rsidRPr="00DD67AF" w:rsidRDefault="00B12638" w:rsidP="00B12638">
      <w:pPr>
        <w:ind w:right="-431"/>
        <w:rPr>
          <w:rFonts w:cs="Arial"/>
          <w:b/>
          <w:szCs w:val="24"/>
        </w:rPr>
      </w:pPr>
    </w:p>
    <w:tbl>
      <w:tblPr>
        <w:tblW w:w="9889" w:type="dxa"/>
        <w:tblLayout w:type="fixed"/>
        <w:tblLook w:val="0000"/>
      </w:tblPr>
      <w:tblGrid>
        <w:gridCol w:w="2518"/>
        <w:gridCol w:w="7371"/>
      </w:tblGrid>
      <w:tr w:rsidR="00B12638" w:rsidRPr="00DD67AF" w:rsidTr="00012DEF">
        <w:tc>
          <w:tcPr>
            <w:tcW w:w="2518" w:type="dxa"/>
          </w:tcPr>
          <w:p w:rsidR="00B12638" w:rsidRPr="00DD67AF" w:rsidRDefault="00B12638" w:rsidP="00012DEF">
            <w:pPr>
              <w:rPr>
                <w:rFonts w:cs="Arial"/>
                <w:b/>
                <w:szCs w:val="24"/>
              </w:rPr>
            </w:pPr>
            <w:r w:rsidRPr="00DD67AF">
              <w:rPr>
                <w:rFonts w:cs="Arial"/>
                <w:b/>
                <w:szCs w:val="24"/>
              </w:rPr>
              <w:t>Appendices attached to report:</w:t>
            </w:r>
          </w:p>
        </w:tc>
        <w:tc>
          <w:tcPr>
            <w:tcW w:w="7371" w:type="dxa"/>
          </w:tcPr>
          <w:p w:rsidR="00B12638" w:rsidRPr="00DD67AF" w:rsidRDefault="00B12638" w:rsidP="00012DEF">
            <w:pPr>
              <w:rPr>
                <w:rFonts w:cs="Arial"/>
                <w:b/>
                <w:szCs w:val="24"/>
              </w:rPr>
            </w:pPr>
            <w:r>
              <w:rPr>
                <w:rFonts w:cs="Arial"/>
                <w:b/>
                <w:szCs w:val="24"/>
              </w:rPr>
              <w:t>Appendix 1 – Progress of equality work 2012 to 2014</w:t>
            </w:r>
          </w:p>
        </w:tc>
      </w:tr>
    </w:tbl>
    <w:p w:rsidR="00B12638" w:rsidRPr="00DD67AF" w:rsidRDefault="00B12638" w:rsidP="00B12638">
      <w:pPr>
        <w:ind w:right="-431"/>
        <w:rPr>
          <w:rFonts w:cs="Arial"/>
          <w:b/>
          <w:szCs w:val="24"/>
        </w:rPr>
      </w:pPr>
    </w:p>
    <w:p w:rsidR="00B12638" w:rsidRPr="00DD67AF" w:rsidRDefault="00B12638" w:rsidP="00B12638">
      <w:pPr>
        <w:pStyle w:val="Header"/>
        <w:tabs>
          <w:tab w:val="clear" w:pos="4153"/>
          <w:tab w:val="clear" w:pos="8306"/>
          <w:tab w:val="num" w:pos="1063"/>
        </w:tabs>
        <w:rPr>
          <w:rFonts w:cs="Arial"/>
          <w:b/>
          <w:szCs w:val="24"/>
        </w:rPr>
      </w:pPr>
      <w:bookmarkStart w:id="11" w:name="PreparedBy"/>
      <w:bookmarkEnd w:id="11"/>
      <w:r>
        <w:rPr>
          <w:rFonts w:cs="Arial"/>
          <w:b/>
          <w:szCs w:val="24"/>
        </w:rPr>
        <w:t>Note: in compliance with section 100d of the Local Government (Access to Information) Act 1985 the report has been prepared in part from the following papers: None</w:t>
      </w:r>
    </w:p>
    <w:p w:rsidR="00B12638" w:rsidRPr="00DD67AF" w:rsidRDefault="00B12638" w:rsidP="00B12638">
      <w:pPr>
        <w:pStyle w:val="Header"/>
        <w:tabs>
          <w:tab w:val="clear" w:pos="4153"/>
          <w:tab w:val="clear" w:pos="8306"/>
          <w:tab w:val="num" w:pos="1063"/>
        </w:tabs>
        <w:rPr>
          <w:rFonts w:cs="Arial"/>
          <w:b/>
          <w:szCs w:val="24"/>
        </w:rPr>
      </w:pPr>
    </w:p>
    <w:p w:rsidR="00B12638" w:rsidRPr="00DD67AF" w:rsidRDefault="00B12638" w:rsidP="00B12638">
      <w:pPr>
        <w:tabs>
          <w:tab w:val="left" w:pos="709"/>
        </w:tabs>
        <w:rPr>
          <w:rFonts w:cs="Arial"/>
          <w:b/>
          <w:szCs w:val="24"/>
        </w:rPr>
      </w:pPr>
      <w:r w:rsidRPr="00DD67AF">
        <w:rPr>
          <w:rFonts w:cs="Arial"/>
          <w:b/>
          <w:szCs w:val="24"/>
        </w:rPr>
        <w:t>CORPORATE IMPLICATIONS/RISKS:</w:t>
      </w:r>
    </w:p>
    <w:p w:rsidR="00B12638" w:rsidRDefault="00B12638" w:rsidP="00B12638">
      <w:pPr>
        <w:tabs>
          <w:tab w:val="num" w:pos="1063"/>
        </w:tabs>
        <w:rPr>
          <w:rFonts w:cs="Arial"/>
          <w:b/>
          <w:szCs w:val="24"/>
        </w:rPr>
      </w:pPr>
      <w:r>
        <w:rPr>
          <w:rFonts w:cs="Arial"/>
          <w:b/>
          <w:szCs w:val="24"/>
        </w:rPr>
        <w:t xml:space="preserve">Chief Executive’s – </w:t>
      </w:r>
    </w:p>
    <w:p w:rsidR="00B12638" w:rsidRDefault="00B12638" w:rsidP="00B12638">
      <w:pPr>
        <w:tabs>
          <w:tab w:val="num" w:pos="1063"/>
        </w:tabs>
        <w:rPr>
          <w:rFonts w:cs="Arial"/>
          <w:b/>
          <w:szCs w:val="24"/>
        </w:rPr>
      </w:pPr>
      <w:r>
        <w:rPr>
          <w:rFonts w:cs="Arial"/>
          <w:b/>
          <w:szCs w:val="24"/>
        </w:rPr>
        <w:t>Economic Development –</w:t>
      </w:r>
      <w:r>
        <w:rPr>
          <w:rFonts w:cs="Arial"/>
          <w:szCs w:val="24"/>
        </w:rPr>
        <w:t xml:space="preserve"> </w:t>
      </w:r>
    </w:p>
    <w:p w:rsidR="00B12638" w:rsidRDefault="00B12638" w:rsidP="00B12638">
      <w:pPr>
        <w:tabs>
          <w:tab w:val="num" w:pos="1063"/>
        </w:tabs>
        <w:rPr>
          <w:rFonts w:cs="Arial"/>
          <w:b/>
          <w:szCs w:val="24"/>
        </w:rPr>
      </w:pPr>
      <w:r>
        <w:rPr>
          <w:rFonts w:cs="Arial"/>
          <w:b/>
          <w:szCs w:val="24"/>
        </w:rPr>
        <w:t>Governance –</w:t>
      </w:r>
    </w:p>
    <w:p w:rsidR="00B12638" w:rsidRDefault="00B12638" w:rsidP="00B12638">
      <w:pPr>
        <w:tabs>
          <w:tab w:val="num" w:pos="1063"/>
        </w:tabs>
        <w:rPr>
          <w:rFonts w:cs="Arial"/>
          <w:b/>
          <w:szCs w:val="24"/>
        </w:rPr>
      </w:pPr>
      <w:r>
        <w:rPr>
          <w:rFonts w:cs="Arial"/>
          <w:b/>
          <w:szCs w:val="24"/>
        </w:rPr>
        <w:t xml:space="preserve">Local Environment – </w:t>
      </w:r>
    </w:p>
    <w:p w:rsidR="00B12638" w:rsidRDefault="00B12638" w:rsidP="00B12638">
      <w:pPr>
        <w:tabs>
          <w:tab w:val="num" w:pos="1063"/>
        </w:tabs>
        <w:rPr>
          <w:rFonts w:cs="Arial"/>
          <w:b/>
          <w:szCs w:val="24"/>
        </w:rPr>
      </w:pPr>
      <w:r>
        <w:rPr>
          <w:rFonts w:cs="Arial"/>
          <w:b/>
          <w:szCs w:val="24"/>
        </w:rPr>
        <w:t xml:space="preserve">Resources - </w:t>
      </w:r>
    </w:p>
    <w:p w:rsidR="00B12638" w:rsidRDefault="00B12638" w:rsidP="00B12638">
      <w:pPr>
        <w:ind w:right="-431"/>
        <w:rPr>
          <w:rFonts w:cs="Arial"/>
          <w:b/>
          <w:szCs w:val="24"/>
        </w:rPr>
        <w:sectPr w:rsidR="00B12638" w:rsidSect="00B12638">
          <w:footerReference w:type="default" r:id="rId12"/>
          <w:type w:val="continuous"/>
          <w:pgSz w:w="11906" w:h="16838"/>
          <w:pgMar w:top="964" w:right="1134" w:bottom="1440" w:left="1134" w:header="720" w:footer="720" w:gutter="0"/>
          <w:cols w:space="720"/>
          <w:docGrid w:linePitch="360"/>
        </w:sectPr>
      </w:pPr>
    </w:p>
    <w:p w:rsidR="00B12638" w:rsidRDefault="00B12638" w:rsidP="00B12638">
      <w:pPr>
        <w:rPr>
          <w:rFonts w:cs="Arial"/>
          <w:b/>
          <w:szCs w:val="24"/>
        </w:rPr>
      </w:pPr>
      <w:r w:rsidRPr="00F74131">
        <w:rPr>
          <w:rFonts w:cs="Arial"/>
          <w:b/>
          <w:szCs w:val="24"/>
        </w:rPr>
        <w:t>Appendix 1 - Progress of equality work 2012 to 2014</w:t>
      </w:r>
    </w:p>
    <w:p w:rsidR="00B12638" w:rsidRDefault="00B12638" w:rsidP="00B12638">
      <w:pPr>
        <w:rPr>
          <w:rFonts w:cs="Arial"/>
          <w:szCs w:val="24"/>
        </w:rPr>
      </w:pPr>
    </w:p>
    <w:p w:rsidR="00B12638" w:rsidRPr="00DB09C6" w:rsidRDefault="00B12638" w:rsidP="00B12638">
      <w:pPr>
        <w:rPr>
          <w:rFonts w:cs="Arial"/>
          <w:b/>
          <w:i/>
          <w:szCs w:val="24"/>
        </w:rPr>
      </w:pPr>
      <w:r w:rsidRPr="00DB09C6">
        <w:rPr>
          <w:rFonts w:cs="Arial"/>
          <w:b/>
          <w:i/>
          <w:szCs w:val="24"/>
        </w:rPr>
        <w:t>Publish information to demonstrate our compliance with the Equality Duty</w:t>
      </w:r>
    </w:p>
    <w:p w:rsidR="00B12638" w:rsidRDefault="00B12638" w:rsidP="00B12638">
      <w:pPr>
        <w:rPr>
          <w:szCs w:val="24"/>
        </w:rPr>
      </w:pPr>
      <w:r>
        <w:rPr>
          <w:rFonts w:cs="Arial"/>
          <w:szCs w:val="24"/>
        </w:rPr>
        <w:t>The Council updated the Comprehensive Equality Scheme</w:t>
      </w:r>
      <w:r>
        <w:t xml:space="preserve"> in April 2011, following a successful peer assessment where the Council reached the Achieving level of the Equality Framework for Local Government.   </w:t>
      </w:r>
      <w:r w:rsidRPr="000C11D4">
        <w:rPr>
          <w:szCs w:val="24"/>
        </w:rPr>
        <w:t xml:space="preserve">The Scheme sets out how the Council promotes equality of opportunity </w:t>
      </w:r>
      <w:r>
        <w:rPr>
          <w:szCs w:val="24"/>
        </w:rPr>
        <w:t>through its services, employment, procurement and partnership working.</w:t>
      </w:r>
    </w:p>
    <w:p w:rsidR="00B12638" w:rsidRPr="000C11D4" w:rsidRDefault="00B12638" w:rsidP="00B12638">
      <w:pPr>
        <w:rPr>
          <w:szCs w:val="24"/>
        </w:rPr>
      </w:pPr>
    </w:p>
    <w:p w:rsidR="00B12638" w:rsidRPr="00AD4794" w:rsidRDefault="00B12638" w:rsidP="00B12638">
      <w:pPr>
        <w:tabs>
          <w:tab w:val="left" w:pos="1418"/>
        </w:tabs>
        <w:rPr>
          <w:rFonts w:cs="Arial"/>
          <w:szCs w:val="24"/>
        </w:rPr>
      </w:pPr>
      <w:r>
        <w:rPr>
          <w:rFonts w:cs="Arial"/>
          <w:szCs w:val="24"/>
        </w:rPr>
        <w:t xml:space="preserve">We have continued to publish general equality impact assessments of service areas on our website.  Specific impact assessments are also undertaken where it is felt that a policy change or decision may impact on a particular group.  Examples of this include impact assessments of the Local Plan (2014), Localised </w:t>
      </w:r>
      <w:r>
        <w:rPr>
          <w:rFonts w:eastAsia="Calibri" w:cs="Arial"/>
          <w:lang w:val="en-US" w:eastAsia="en-US"/>
        </w:rPr>
        <w:t xml:space="preserve">Support for Council Tax (2012), and Historic Core On-street Parking </w:t>
      </w:r>
      <w:r>
        <w:rPr>
          <w:rFonts w:cs="Arial"/>
          <w:szCs w:val="24"/>
        </w:rPr>
        <w:t>(2012).</w:t>
      </w:r>
    </w:p>
    <w:p w:rsidR="00B12638" w:rsidRDefault="00B12638" w:rsidP="00B12638">
      <w:pPr>
        <w:ind w:right="-431"/>
        <w:rPr>
          <w:rFonts w:cs="Arial"/>
          <w:szCs w:val="24"/>
        </w:rPr>
      </w:pPr>
    </w:p>
    <w:p w:rsidR="00B12638" w:rsidRDefault="00B12638" w:rsidP="00B12638">
      <w:pPr>
        <w:ind w:right="-431"/>
        <w:rPr>
          <w:rFonts w:cs="Arial"/>
          <w:szCs w:val="24"/>
        </w:rPr>
      </w:pPr>
      <w:r>
        <w:rPr>
          <w:rFonts w:cs="Arial"/>
          <w:szCs w:val="24"/>
        </w:rPr>
        <w:t>We provide information on the equality and diversity reporting section of our website about the Council’s workforce profile, complaints and c</w:t>
      </w:r>
      <w:r w:rsidRPr="000C11D4">
        <w:rPr>
          <w:rFonts w:cs="Arial"/>
          <w:szCs w:val="24"/>
        </w:rPr>
        <w:t>ustomer satisfaction with Council services</w:t>
      </w:r>
      <w:r>
        <w:rPr>
          <w:rFonts w:cs="Arial"/>
          <w:szCs w:val="24"/>
        </w:rPr>
        <w:t>.</w:t>
      </w:r>
    </w:p>
    <w:p w:rsidR="00B12638" w:rsidRDefault="00B12638" w:rsidP="00B12638">
      <w:pPr>
        <w:tabs>
          <w:tab w:val="left" w:pos="1418"/>
        </w:tabs>
        <w:rPr>
          <w:rFonts w:cs="Arial"/>
          <w:b/>
          <w:szCs w:val="24"/>
        </w:rPr>
      </w:pPr>
    </w:p>
    <w:p w:rsidR="00B12638" w:rsidRDefault="00B12638" w:rsidP="00B12638">
      <w:pPr>
        <w:tabs>
          <w:tab w:val="left" w:pos="1418"/>
        </w:tabs>
        <w:rPr>
          <w:rFonts w:cs="Arial"/>
          <w:b/>
          <w:szCs w:val="24"/>
        </w:rPr>
      </w:pPr>
    </w:p>
    <w:p w:rsidR="00B12638" w:rsidRDefault="00B12638" w:rsidP="00B12638">
      <w:pPr>
        <w:tabs>
          <w:tab w:val="left" w:pos="1418"/>
        </w:tabs>
        <w:rPr>
          <w:rFonts w:cs="Arial"/>
          <w:b/>
          <w:i/>
          <w:szCs w:val="24"/>
        </w:rPr>
      </w:pPr>
      <w:r w:rsidRPr="000337B6">
        <w:rPr>
          <w:rFonts w:cs="Arial"/>
          <w:b/>
          <w:i/>
          <w:szCs w:val="24"/>
        </w:rPr>
        <w:t>Equality objectives 2012-15</w:t>
      </w:r>
    </w:p>
    <w:p w:rsidR="00B12638" w:rsidRDefault="00B12638" w:rsidP="00B12638">
      <w:pPr>
        <w:tabs>
          <w:tab w:val="left" w:pos="1418"/>
        </w:tabs>
        <w:rPr>
          <w:rFonts w:cs="Arial"/>
          <w:b/>
          <w:i/>
          <w:szCs w:val="24"/>
        </w:rPr>
      </w:pPr>
    </w:p>
    <w:p w:rsidR="00B12638" w:rsidRDefault="00B12638" w:rsidP="00B12638">
      <w:pPr>
        <w:tabs>
          <w:tab w:val="left" w:pos="1418"/>
        </w:tabs>
        <w:rPr>
          <w:rFonts w:cs="Arial"/>
          <w:b/>
          <w:szCs w:val="24"/>
        </w:rPr>
      </w:pPr>
      <w:r w:rsidRPr="00832061">
        <w:rPr>
          <w:rFonts w:cs="Arial"/>
          <w:b/>
          <w:szCs w:val="24"/>
        </w:rPr>
        <w:t xml:space="preserve">Improve the quality and volume of our customer information </w:t>
      </w:r>
    </w:p>
    <w:p w:rsidR="00B12638" w:rsidRPr="00EF18FF" w:rsidRDefault="00B12638" w:rsidP="00B12638">
      <w:pPr>
        <w:tabs>
          <w:tab w:val="left" w:pos="1418"/>
        </w:tabs>
        <w:rPr>
          <w:rFonts w:cs="Arial"/>
          <w:szCs w:val="24"/>
        </w:rPr>
      </w:pPr>
      <w:r w:rsidRPr="00D01580">
        <w:rPr>
          <w:rFonts w:cs="Arial"/>
          <w:szCs w:val="24"/>
        </w:rPr>
        <w:t xml:space="preserve">The Council’s Customer Access Strategy focuses on ensuring our customers’ experiences are of </w:t>
      </w:r>
      <w:r>
        <w:rPr>
          <w:rFonts w:cs="Arial"/>
          <w:szCs w:val="24"/>
        </w:rPr>
        <w:t xml:space="preserve">the highest possible standard and they </w:t>
      </w:r>
      <w:r w:rsidRPr="00D01580">
        <w:rPr>
          <w:rFonts w:cs="Arial"/>
          <w:szCs w:val="24"/>
        </w:rPr>
        <w:t xml:space="preserve">can confidently and easily access </w:t>
      </w:r>
      <w:r>
        <w:rPr>
          <w:rFonts w:cs="Arial"/>
          <w:szCs w:val="24"/>
        </w:rPr>
        <w:t>the council</w:t>
      </w:r>
      <w:r w:rsidRPr="00D01580">
        <w:rPr>
          <w:rFonts w:cs="Arial"/>
          <w:szCs w:val="24"/>
        </w:rPr>
        <w:t xml:space="preserve"> services</w:t>
      </w:r>
      <w:r w:rsidRPr="00D01580">
        <w:rPr>
          <w:rFonts w:cs="Arial"/>
          <w:color w:val="FF0000"/>
          <w:szCs w:val="24"/>
        </w:rPr>
        <w:t xml:space="preserve"> </w:t>
      </w:r>
      <w:r w:rsidRPr="00D01580">
        <w:rPr>
          <w:rFonts w:cs="Arial"/>
          <w:szCs w:val="24"/>
        </w:rPr>
        <w:t xml:space="preserve">they need. </w:t>
      </w:r>
      <w:r>
        <w:rPr>
          <w:rFonts w:cs="Arial"/>
          <w:szCs w:val="24"/>
        </w:rPr>
        <w:t xml:space="preserve">Key to this is developing </w:t>
      </w:r>
      <w:r w:rsidRPr="00D01580">
        <w:rPr>
          <w:rFonts w:cs="Arial"/>
          <w:szCs w:val="24"/>
        </w:rPr>
        <w:t>customer information to shape service delivery around our customers needs</w:t>
      </w:r>
      <w:r>
        <w:rPr>
          <w:rFonts w:cs="Arial"/>
          <w:szCs w:val="24"/>
        </w:rPr>
        <w:t xml:space="preserve">.  </w:t>
      </w:r>
      <w:r w:rsidRPr="00EF18FF">
        <w:rPr>
          <w:rFonts w:cs="Arial"/>
          <w:szCs w:val="24"/>
        </w:rPr>
        <w:t xml:space="preserve">It is intended that all customer service requests, requests for information and advice will be co-ordinated through the customer contact centre and recorded on </w:t>
      </w:r>
      <w:r>
        <w:rPr>
          <w:rFonts w:cs="Arial"/>
          <w:szCs w:val="24"/>
        </w:rPr>
        <w:t xml:space="preserve">the </w:t>
      </w:r>
      <w:r w:rsidRPr="00EF18FF">
        <w:rPr>
          <w:rFonts w:cs="Arial"/>
          <w:szCs w:val="24"/>
        </w:rPr>
        <w:t>CRM</w:t>
      </w:r>
      <w:r>
        <w:rPr>
          <w:rFonts w:cs="Arial"/>
          <w:szCs w:val="24"/>
        </w:rPr>
        <w:t xml:space="preserve"> database</w:t>
      </w:r>
      <w:r w:rsidRPr="00EF18FF">
        <w:rPr>
          <w:rFonts w:cs="Arial"/>
          <w:szCs w:val="24"/>
        </w:rPr>
        <w:t>.  This act</w:t>
      </w:r>
      <w:r>
        <w:rPr>
          <w:rFonts w:cs="Arial"/>
          <w:szCs w:val="24"/>
        </w:rPr>
        <w:t>s</w:t>
      </w:r>
      <w:r w:rsidRPr="00EF18FF">
        <w:rPr>
          <w:rFonts w:cs="Arial"/>
          <w:szCs w:val="24"/>
        </w:rPr>
        <w:t xml:space="preserve"> as a central point of information and </w:t>
      </w:r>
      <w:r>
        <w:rPr>
          <w:rFonts w:cs="Arial"/>
          <w:szCs w:val="24"/>
        </w:rPr>
        <w:t xml:space="preserve">is being </w:t>
      </w:r>
      <w:r w:rsidRPr="00EF18FF">
        <w:rPr>
          <w:rFonts w:cs="Arial"/>
          <w:szCs w:val="24"/>
        </w:rPr>
        <w:t xml:space="preserve">developed as an intelligence tool.  This work </w:t>
      </w:r>
      <w:r>
        <w:rPr>
          <w:rFonts w:cs="Arial"/>
          <w:szCs w:val="24"/>
        </w:rPr>
        <w:t>is supported by the drive to encourage</w:t>
      </w:r>
      <w:r w:rsidRPr="00EF18FF">
        <w:rPr>
          <w:rFonts w:cs="Arial"/>
          <w:szCs w:val="24"/>
        </w:rPr>
        <w:t xml:space="preserve"> residents to register for online services, </w:t>
      </w:r>
      <w:r>
        <w:rPr>
          <w:rFonts w:cs="Arial"/>
          <w:szCs w:val="24"/>
        </w:rPr>
        <w:t>website redesign and launch, and partnership work to improve accessibility in the community (for example using community centres as hubs).</w:t>
      </w:r>
    </w:p>
    <w:p w:rsidR="00B12638" w:rsidRPr="00D01580" w:rsidRDefault="00B12638" w:rsidP="00B12638">
      <w:pPr>
        <w:tabs>
          <w:tab w:val="left" w:pos="1418"/>
        </w:tabs>
        <w:rPr>
          <w:rFonts w:cs="Arial"/>
          <w:szCs w:val="24"/>
        </w:rPr>
      </w:pPr>
    </w:p>
    <w:p w:rsidR="00B12638" w:rsidRDefault="00B12638" w:rsidP="00B12638">
      <w:pPr>
        <w:tabs>
          <w:tab w:val="left" w:pos="1418"/>
        </w:tabs>
        <w:rPr>
          <w:rFonts w:cs="Arial"/>
          <w:szCs w:val="24"/>
        </w:rPr>
      </w:pPr>
      <w:r>
        <w:rPr>
          <w:rFonts w:cs="Arial"/>
          <w:szCs w:val="24"/>
        </w:rPr>
        <w:t xml:space="preserve">We have implemented </w:t>
      </w:r>
      <w:r w:rsidRPr="00CA015D">
        <w:rPr>
          <w:rFonts w:cs="Arial"/>
          <w:szCs w:val="24"/>
        </w:rPr>
        <w:t>an integrated customer sati</w:t>
      </w:r>
      <w:r>
        <w:rPr>
          <w:rFonts w:cs="Arial"/>
          <w:szCs w:val="24"/>
        </w:rPr>
        <w:t>sfaction and perception survey on our website, which enables us to gather continuous feedback from our customers.  The findings of this survey feed into our customer satisfaction service standard that is reported to the Executive and Scrutiny Panels on a quarterly basis.  This will also form a baseline to inform the development of new equality objectives.</w:t>
      </w:r>
    </w:p>
    <w:p w:rsidR="00B12638" w:rsidRDefault="00B12638" w:rsidP="00B12638">
      <w:pPr>
        <w:tabs>
          <w:tab w:val="left" w:pos="1418"/>
        </w:tabs>
        <w:rPr>
          <w:rFonts w:ascii="Times New Roman" w:hAnsi="Times New Roman"/>
          <w:szCs w:val="24"/>
        </w:rPr>
      </w:pPr>
    </w:p>
    <w:p w:rsidR="00B12638" w:rsidRDefault="00B12638" w:rsidP="00B12638">
      <w:pPr>
        <w:tabs>
          <w:tab w:val="left" w:pos="1418"/>
        </w:tabs>
        <w:rPr>
          <w:rFonts w:cs="Arial"/>
          <w:szCs w:val="24"/>
        </w:rPr>
      </w:pPr>
      <w:r>
        <w:rPr>
          <w:rFonts w:cs="Arial"/>
          <w:szCs w:val="24"/>
        </w:rPr>
        <w:t xml:space="preserve">The Council gathers customer information for specific service areas or issues through a number of mechanisms that can include Carlisle Focus surveys, online surveys, face to face interviews, road shows, and consultation events.  The development of the Council’s social media tools are an additional means of improving communication with customers and encouraging feedback on our services.  This has seen growing engagement over the past years as the Council builds its digital profile.  </w:t>
      </w:r>
    </w:p>
    <w:p w:rsidR="00B12638" w:rsidRPr="00832061" w:rsidRDefault="00B12638" w:rsidP="00B12638">
      <w:pPr>
        <w:tabs>
          <w:tab w:val="left" w:pos="1418"/>
        </w:tabs>
        <w:rPr>
          <w:rFonts w:cs="Arial"/>
          <w:szCs w:val="24"/>
        </w:rPr>
      </w:pPr>
    </w:p>
    <w:p w:rsidR="00B12638" w:rsidRPr="00832061" w:rsidRDefault="00B12638" w:rsidP="00B12638">
      <w:pPr>
        <w:tabs>
          <w:tab w:val="left" w:pos="1418"/>
        </w:tabs>
        <w:rPr>
          <w:rFonts w:cs="Arial"/>
          <w:b/>
          <w:szCs w:val="24"/>
        </w:rPr>
      </w:pPr>
      <w:r w:rsidRPr="00832061">
        <w:rPr>
          <w:rFonts w:cs="Arial"/>
          <w:b/>
          <w:szCs w:val="24"/>
        </w:rPr>
        <w:t xml:space="preserve">Improve access and inclusion for all our services and across our partnerships </w:t>
      </w:r>
    </w:p>
    <w:p w:rsidR="00B12638" w:rsidRPr="00F0162D" w:rsidRDefault="00B12638" w:rsidP="00B12638">
      <w:pPr>
        <w:spacing w:after="120" w:line="320" w:lineRule="atLeast"/>
        <w:rPr>
          <w:rFonts w:cs="Arial"/>
        </w:rPr>
      </w:pPr>
      <w:r>
        <w:rPr>
          <w:rFonts w:cs="Arial"/>
          <w:szCs w:val="24"/>
        </w:rPr>
        <w:t xml:space="preserve">As outlined under the previous equality objective, the Council’s Customer Access Strategy aims at improving access for our customers.  The redevelopment of the Civic Centre Foyer has improved access and it is continued to be developed as an information hub for partners.  Cumbria Deaf Vision has moved its office into the building and is able to offer a signing service for contact centre customers upon request.  </w:t>
      </w:r>
      <w:r>
        <w:rPr>
          <w:rFonts w:cs="Arial"/>
        </w:rPr>
        <w:t xml:space="preserve">Community kiosks have recently been made available within Brampton and </w:t>
      </w:r>
      <w:proofErr w:type="spellStart"/>
      <w:r>
        <w:rPr>
          <w:rFonts w:cs="Arial"/>
        </w:rPr>
        <w:t>Greystone</w:t>
      </w:r>
      <w:proofErr w:type="spellEnd"/>
      <w:r>
        <w:rPr>
          <w:rFonts w:cs="Arial"/>
        </w:rPr>
        <w:t xml:space="preserve"> Community Centres. These devices allows visitors to access services provided by the Council, </w:t>
      </w:r>
      <w:r w:rsidRPr="008E1C3B">
        <w:rPr>
          <w:rFonts w:cs="Arial"/>
        </w:rPr>
        <w:t>Cumbria Constabulary</w:t>
      </w:r>
      <w:r>
        <w:rPr>
          <w:rFonts w:cs="Arial"/>
        </w:rPr>
        <w:t xml:space="preserve"> and a number of local partners, </w:t>
      </w:r>
      <w:r w:rsidRPr="00823409">
        <w:rPr>
          <w:rFonts w:cs="Arial"/>
        </w:rPr>
        <w:t>that previously would have involved a visit to the Civic Centre in the city centre.</w:t>
      </w:r>
    </w:p>
    <w:p w:rsidR="00B12638" w:rsidRPr="00D96752" w:rsidRDefault="00B12638" w:rsidP="00B12638">
      <w:pPr>
        <w:tabs>
          <w:tab w:val="left" w:pos="1418"/>
        </w:tabs>
        <w:rPr>
          <w:rFonts w:cs="Arial"/>
          <w:szCs w:val="24"/>
        </w:rPr>
      </w:pPr>
    </w:p>
    <w:p w:rsidR="00B12638" w:rsidRPr="00D96752" w:rsidRDefault="00B12638" w:rsidP="00B12638">
      <w:pPr>
        <w:tabs>
          <w:tab w:val="left" w:pos="1418"/>
        </w:tabs>
        <w:rPr>
          <w:rFonts w:cs="Arial"/>
          <w:szCs w:val="24"/>
        </w:rPr>
      </w:pPr>
      <w:r>
        <w:rPr>
          <w:rFonts w:cs="Arial"/>
          <w:szCs w:val="24"/>
        </w:rPr>
        <w:t>As part of t</w:t>
      </w:r>
      <w:r w:rsidRPr="00D96752">
        <w:rPr>
          <w:rFonts w:cs="Arial"/>
          <w:szCs w:val="24"/>
        </w:rPr>
        <w:t xml:space="preserve">he </w:t>
      </w:r>
      <w:r w:rsidRPr="00D96752">
        <w:rPr>
          <w:szCs w:val="24"/>
        </w:rPr>
        <w:t xml:space="preserve">Carlisle Local Plan 2015 - 2030 </w:t>
      </w:r>
      <w:r w:rsidRPr="00D96752">
        <w:rPr>
          <w:rFonts w:cs="Arial"/>
          <w:szCs w:val="24"/>
        </w:rPr>
        <w:t>develop</w:t>
      </w:r>
      <w:r>
        <w:rPr>
          <w:rFonts w:cs="Arial"/>
          <w:szCs w:val="24"/>
        </w:rPr>
        <w:t xml:space="preserve">ment, </w:t>
      </w:r>
      <w:r w:rsidRPr="00D96752">
        <w:rPr>
          <w:rFonts w:cs="Arial"/>
          <w:szCs w:val="24"/>
        </w:rPr>
        <w:t>an e</w:t>
      </w:r>
      <w:r w:rsidRPr="00D96752">
        <w:rPr>
          <w:szCs w:val="24"/>
        </w:rPr>
        <w:t xml:space="preserve">quality impact assessment </w:t>
      </w:r>
      <w:r>
        <w:rPr>
          <w:szCs w:val="24"/>
        </w:rPr>
        <w:t>has been undertaken to consider</w:t>
      </w:r>
      <w:r w:rsidRPr="00D96752">
        <w:rPr>
          <w:szCs w:val="24"/>
        </w:rPr>
        <w:t xml:space="preserve"> the likely impact of policies in the Local Plan to ensure it is in line with equality legislation and the Council's equality objectives. The impact assessment is being consulted on along side the draft Local Plan and is available on the Council’s website.  The assessment was shared with stakeholders with interests in single or multiple protected characteristics</w:t>
      </w:r>
      <w:r>
        <w:rPr>
          <w:szCs w:val="24"/>
        </w:rPr>
        <w:t xml:space="preserve"> to encourage further feedback</w:t>
      </w:r>
      <w:r w:rsidRPr="00D96752">
        <w:rPr>
          <w:szCs w:val="24"/>
        </w:rPr>
        <w:t>.</w:t>
      </w:r>
    </w:p>
    <w:p w:rsidR="00B12638" w:rsidRDefault="00B12638" w:rsidP="00B12638">
      <w:pPr>
        <w:tabs>
          <w:tab w:val="left" w:pos="1418"/>
        </w:tabs>
        <w:rPr>
          <w:rFonts w:cs="Arial"/>
          <w:szCs w:val="24"/>
        </w:rPr>
      </w:pPr>
    </w:p>
    <w:p w:rsidR="00B12638" w:rsidRDefault="00B12638" w:rsidP="00B12638">
      <w:pPr>
        <w:tabs>
          <w:tab w:val="left" w:pos="1418"/>
        </w:tabs>
        <w:rPr>
          <w:rFonts w:cs="Arial"/>
          <w:szCs w:val="24"/>
        </w:rPr>
      </w:pPr>
      <w:r>
        <w:rPr>
          <w:rFonts w:cs="Arial"/>
          <w:szCs w:val="24"/>
        </w:rPr>
        <w:t>The Council provides many different services to the community that tackle discrimination and provide equality of opportunity for all.  Some recent examples of good practice in the Council include:</w:t>
      </w:r>
    </w:p>
    <w:p w:rsidR="00B12638" w:rsidRDefault="00E55C71" w:rsidP="00B12638">
      <w:pPr>
        <w:pStyle w:val="ListParagraph"/>
        <w:numPr>
          <w:ilvl w:val="0"/>
          <w:numId w:val="25"/>
        </w:numPr>
        <w:tabs>
          <w:tab w:val="left" w:pos="1418"/>
        </w:tabs>
        <w:rPr>
          <w:rFonts w:cs="Arial"/>
          <w:szCs w:val="24"/>
        </w:rPr>
      </w:pPr>
      <w:r>
        <w:rPr>
          <w:rFonts w:cs="Arial"/>
          <w:szCs w:val="24"/>
        </w:rPr>
        <w:t>F</w:t>
      </w:r>
      <w:r w:rsidR="00B12638" w:rsidRPr="00F966A6">
        <w:rPr>
          <w:rFonts w:cs="Arial"/>
          <w:szCs w:val="24"/>
        </w:rPr>
        <w:t>ood safety training</w:t>
      </w:r>
      <w:r>
        <w:rPr>
          <w:rFonts w:cs="Arial"/>
          <w:szCs w:val="24"/>
        </w:rPr>
        <w:t xml:space="preserve"> s</w:t>
      </w:r>
      <w:r w:rsidR="00B12638" w:rsidRPr="00F966A6">
        <w:rPr>
          <w:rFonts w:cs="Arial"/>
          <w:szCs w:val="24"/>
        </w:rPr>
        <w:t>essions were run with the Chinese community in early 2014 and work has been undertaken to support Community Centres.  The Environmental Health Team are also working in partnership with other districts in Cumbria, Public Health England and the NHS to look at how people with mental health issues can be referred from the Council to additional support services.</w:t>
      </w:r>
    </w:p>
    <w:p w:rsidR="00B12638" w:rsidRDefault="00B12638" w:rsidP="00B12638">
      <w:pPr>
        <w:pStyle w:val="ListParagraph"/>
        <w:numPr>
          <w:ilvl w:val="0"/>
          <w:numId w:val="25"/>
        </w:numPr>
        <w:tabs>
          <w:tab w:val="left" w:pos="1418"/>
        </w:tabs>
        <w:rPr>
          <w:rFonts w:cs="Arial"/>
          <w:szCs w:val="24"/>
        </w:rPr>
      </w:pPr>
      <w:r w:rsidRPr="00F966A6">
        <w:rPr>
          <w:rFonts w:cs="Arial"/>
          <w:szCs w:val="24"/>
        </w:rPr>
        <w:t>All taxi drivers have to attend a disability awareness course as part of the licence approval process.  The course was developed in response to complaints about the treatment of disabled customers.</w:t>
      </w:r>
    </w:p>
    <w:p w:rsidR="00B12638" w:rsidRDefault="00B12638" w:rsidP="00B12638">
      <w:pPr>
        <w:pStyle w:val="ListParagraph"/>
        <w:numPr>
          <w:ilvl w:val="0"/>
          <w:numId w:val="25"/>
        </w:numPr>
        <w:tabs>
          <w:tab w:val="left" w:pos="1418"/>
        </w:tabs>
        <w:rPr>
          <w:rFonts w:cs="Arial"/>
          <w:szCs w:val="24"/>
        </w:rPr>
      </w:pPr>
      <w:r w:rsidRPr="00F966A6">
        <w:rPr>
          <w:rFonts w:cs="Arial"/>
          <w:szCs w:val="24"/>
        </w:rPr>
        <w:t xml:space="preserve">The Council continues to support the Carlisle Access Group, which </w:t>
      </w:r>
      <w:r>
        <w:t xml:space="preserve">promotes and improves the access of disabled people to buildings, facilities and services within the district.  The Council is working with this group to </w:t>
      </w:r>
      <w:r w:rsidRPr="00F966A6">
        <w:rPr>
          <w:rFonts w:cs="Arial"/>
          <w:szCs w:val="24"/>
        </w:rPr>
        <w:t>review applications for cafe pavement seating areas and check accessibility is maintained.</w:t>
      </w:r>
    </w:p>
    <w:p w:rsidR="00B12638" w:rsidRPr="00F966A6" w:rsidRDefault="00B12638" w:rsidP="00B12638">
      <w:pPr>
        <w:pStyle w:val="ListParagraph"/>
        <w:numPr>
          <w:ilvl w:val="0"/>
          <w:numId w:val="25"/>
        </w:numPr>
        <w:tabs>
          <w:tab w:val="left" w:pos="1418"/>
        </w:tabs>
        <w:rPr>
          <w:rFonts w:cs="Arial"/>
          <w:szCs w:val="24"/>
        </w:rPr>
      </w:pPr>
      <w:r w:rsidRPr="00F966A6">
        <w:rPr>
          <w:rFonts w:cs="Arial"/>
          <w:szCs w:val="24"/>
        </w:rPr>
        <w:t>The Old Town Hall is undergoing significant regeneration</w:t>
      </w:r>
      <w:r w:rsidRPr="00F966A6">
        <w:rPr>
          <w:rFonts w:cs="Arial"/>
        </w:rPr>
        <w:t xml:space="preserve"> to improve the facilities, which include a reception counter for customers with disabilities.</w:t>
      </w:r>
    </w:p>
    <w:p w:rsidR="00B12638" w:rsidRPr="00F966A6" w:rsidRDefault="00B12638" w:rsidP="00B12638">
      <w:pPr>
        <w:pStyle w:val="ListParagraph"/>
        <w:numPr>
          <w:ilvl w:val="0"/>
          <w:numId w:val="25"/>
        </w:numPr>
        <w:tabs>
          <w:tab w:val="left" w:pos="1418"/>
        </w:tabs>
        <w:rPr>
          <w:rFonts w:cs="Arial"/>
          <w:szCs w:val="24"/>
        </w:rPr>
      </w:pPr>
      <w:r w:rsidRPr="00F966A6">
        <w:rPr>
          <w:rFonts w:cs="Arial"/>
          <w:szCs w:val="24"/>
        </w:rPr>
        <w:t xml:space="preserve">The Council provides a permanent gypsy and traveller site at </w:t>
      </w:r>
      <w:r>
        <w:t xml:space="preserve">Low </w:t>
      </w:r>
      <w:proofErr w:type="spellStart"/>
      <w:r>
        <w:t>Harker</w:t>
      </w:r>
      <w:proofErr w:type="spellEnd"/>
      <w:r>
        <w:t xml:space="preserve"> </w:t>
      </w:r>
      <w:proofErr w:type="spellStart"/>
      <w:r>
        <w:t>Dene</w:t>
      </w:r>
      <w:proofErr w:type="spellEnd"/>
      <w:r>
        <w:t xml:space="preserve"> and is developing a transit site at the same location.</w:t>
      </w:r>
    </w:p>
    <w:p w:rsidR="00B12638" w:rsidRPr="00F966A6" w:rsidRDefault="00B12638" w:rsidP="00B12638">
      <w:pPr>
        <w:pStyle w:val="ListParagraph"/>
        <w:numPr>
          <w:ilvl w:val="0"/>
          <w:numId w:val="25"/>
        </w:numPr>
        <w:tabs>
          <w:tab w:val="left" w:pos="1418"/>
        </w:tabs>
        <w:rPr>
          <w:rFonts w:cs="Arial"/>
          <w:szCs w:val="24"/>
        </w:rPr>
      </w:pPr>
      <w:r>
        <w:t xml:space="preserve">The Homelessness Strategy is under review and will be open to consultation in </w:t>
      </w:r>
      <w:proofErr w:type="gramStart"/>
      <w:r>
        <w:t>Autumn</w:t>
      </w:r>
      <w:proofErr w:type="gramEnd"/>
      <w:r>
        <w:t xml:space="preserve"> 2014.  It is envisaged that this will continue the important investment the Council has made in services for people who are homeless, including the John Street accommodation, Water Street Accommodation and </w:t>
      </w:r>
      <w:proofErr w:type="spellStart"/>
      <w:r>
        <w:t>Shaddon</w:t>
      </w:r>
      <w:proofErr w:type="spellEnd"/>
      <w:r>
        <w:t xml:space="preserve"> Gateway.</w:t>
      </w:r>
    </w:p>
    <w:p w:rsidR="00B12638" w:rsidRDefault="00B12638" w:rsidP="00B12638">
      <w:pPr>
        <w:tabs>
          <w:tab w:val="left" w:pos="1418"/>
        </w:tabs>
        <w:rPr>
          <w:rFonts w:cs="Arial"/>
          <w:szCs w:val="24"/>
        </w:rPr>
      </w:pPr>
    </w:p>
    <w:p w:rsidR="00B12638" w:rsidRPr="005053DF" w:rsidRDefault="00B12638" w:rsidP="00B12638">
      <w:pPr>
        <w:tabs>
          <w:tab w:val="left" w:pos="1418"/>
        </w:tabs>
        <w:rPr>
          <w:rFonts w:cs="Arial"/>
          <w:szCs w:val="24"/>
        </w:rPr>
      </w:pPr>
      <w:r>
        <w:rPr>
          <w:rFonts w:cs="Arial"/>
          <w:szCs w:val="24"/>
        </w:rPr>
        <w:t>Work is ongoing to d</w:t>
      </w:r>
      <w:r w:rsidRPr="00CA015D">
        <w:rPr>
          <w:rFonts w:cs="Arial"/>
          <w:szCs w:val="24"/>
        </w:rPr>
        <w:t>evelop our workforce to better reflect the diversity of Carlisle</w:t>
      </w:r>
      <w:r>
        <w:rPr>
          <w:rFonts w:cs="Arial"/>
          <w:szCs w:val="24"/>
        </w:rPr>
        <w:t xml:space="preserve"> and address the ageing profile of our employees.   A key action from the Organisation Development Plan 2013-15 is to </w:t>
      </w:r>
      <w:r w:rsidRPr="008665EE">
        <w:rPr>
          <w:rFonts w:cs="Arial"/>
          <w:szCs w:val="24"/>
        </w:rPr>
        <w:t xml:space="preserve">continue to identify areas of the Council where apprenticeships and graduate traineeships could be introduced.  </w:t>
      </w:r>
      <w:r>
        <w:rPr>
          <w:rFonts w:cs="Arial"/>
          <w:szCs w:val="24"/>
        </w:rPr>
        <w:t xml:space="preserve">These schemes aim to encourage and develop younger employees.  The introduction of the </w:t>
      </w:r>
      <w:proofErr w:type="spellStart"/>
      <w:r>
        <w:rPr>
          <w:rFonts w:cs="Arial"/>
          <w:szCs w:val="24"/>
        </w:rPr>
        <w:t>iTrent</w:t>
      </w:r>
      <w:proofErr w:type="spellEnd"/>
      <w:r>
        <w:rPr>
          <w:rFonts w:cs="Arial"/>
          <w:szCs w:val="24"/>
        </w:rPr>
        <w:t xml:space="preserve"> Human Resources management system will enable employee data to be analysed more effectively and a quarterly workforce profile for each Directorate will be developed to facilitate this.</w:t>
      </w:r>
    </w:p>
    <w:p w:rsidR="00B12638" w:rsidRDefault="00B12638" w:rsidP="00B12638">
      <w:pPr>
        <w:tabs>
          <w:tab w:val="left" w:pos="1418"/>
        </w:tabs>
        <w:rPr>
          <w:rFonts w:cs="Arial"/>
          <w:szCs w:val="24"/>
        </w:rPr>
      </w:pPr>
    </w:p>
    <w:p w:rsidR="00B12638" w:rsidRDefault="00B12638" w:rsidP="00B12638">
      <w:pPr>
        <w:tabs>
          <w:tab w:val="left" w:pos="1418"/>
        </w:tabs>
        <w:rPr>
          <w:rFonts w:cs="Arial"/>
          <w:szCs w:val="24"/>
        </w:rPr>
      </w:pPr>
      <w:r>
        <w:rPr>
          <w:rFonts w:cs="Arial"/>
          <w:szCs w:val="24"/>
        </w:rPr>
        <w:t>Improving access to our services is underpinned by the learning and development of staff.  The Council has developed a range of equality and diversity modules for the e-learning system, Learning Pool, that cover the Public Sector Equality Duty, Disability Awareness, Autism Awareness, Faith and Belief, Mental Health Awareness and Learning Disability Awareness.</w:t>
      </w:r>
    </w:p>
    <w:p w:rsidR="00B12638" w:rsidRDefault="00B12638" w:rsidP="00B12638">
      <w:pPr>
        <w:tabs>
          <w:tab w:val="left" w:pos="1418"/>
        </w:tabs>
        <w:rPr>
          <w:rFonts w:cs="Arial"/>
          <w:szCs w:val="24"/>
        </w:rPr>
      </w:pPr>
    </w:p>
    <w:p w:rsidR="00B12638" w:rsidRDefault="00B12638" w:rsidP="00B12638">
      <w:pPr>
        <w:tabs>
          <w:tab w:val="left" w:pos="1418"/>
        </w:tabs>
        <w:rPr>
          <w:rFonts w:cs="Arial"/>
          <w:szCs w:val="24"/>
        </w:rPr>
      </w:pPr>
      <w:r>
        <w:rPr>
          <w:rFonts w:cs="Arial"/>
          <w:szCs w:val="24"/>
        </w:rPr>
        <w:t xml:space="preserve">The Council works in partnership with other local authorities in Cumbria through the Achieving Cumbria Equality (ACE) Group.  This group seeks to develop best practice across Cumbria by sharing information, developing training and procuring services to support equality work.  The group has developed Public Sector Equality Duty training that will be delivered to our service managers in </w:t>
      </w:r>
      <w:proofErr w:type="gramStart"/>
      <w:r>
        <w:rPr>
          <w:rFonts w:cs="Arial"/>
          <w:szCs w:val="24"/>
        </w:rPr>
        <w:t>Autumn</w:t>
      </w:r>
      <w:proofErr w:type="gramEnd"/>
      <w:r>
        <w:rPr>
          <w:rFonts w:cs="Arial"/>
          <w:szCs w:val="24"/>
        </w:rPr>
        <w:t xml:space="preserve"> 2014.  </w:t>
      </w:r>
    </w:p>
    <w:p w:rsidR="00B12638" w:rsidRDefault="00B12638" w:rsidP="00B12638">
      <w:pPr>
        <w:tabs>
          <w:tab w:val="left" w:pos="1418"/>
        </w:tabs>
        <w:rPr>
          <w:rFonts w:cs="Arial"/>
          <w:szCs w:val="24"/>
        </w:rPr>
      </w:pPr>
    </w:p>
    <w:p w:rsidR="00B12638" w:rsidRPr="000337B6" w:rsidRDefault="00B12638" w:rsidP="00B12638">
      <w:pPr>
        <w:autoSpaceDE w:val="0"/>
        <w:autoSpaceDN w:val="0"/>
        <w:adjustRightInd w:val="0"/>
        <w:rPr>
          <w:rFonts w:cs="Arial"/>
          <w:szCs w:val="24"/>
        </w:rPr>
      </w:pPr>
      <w:r>
        <w:rPr>
          <w:rFonts w:cs="Arial"/>
          <w:szCs w:val="24"/>
        </w:rPr>
        <w:t xml:space="preserve">The budget is screened for equality impacts as part of the annual budget setting process.  This identifies if a change will have a positive or negative impact on a specific group and what measures can be taken to address the impact if appropriate. </w:t>
      </w:r>
    </w:p>
    <w:p w:rsidR="00B12638" w:rsidRDefault="00B12638" w:rsidP="00B12638">
      <w:pPr>
        <w:tabs>
          <w:tab w:val="left" w:pos="1418"/>
        </w:tabs>
        <w:rPr>
          <w:rFonts w:cs="Arial"/>
          <w:szCs w:val="24"/>
        </w:rPr>
      </w:pPr>
    </w:p>
    <w:p w:rsidR="00B12638" w:rsidRDefault="00B12638" w:rsidP="00B12638">
      <w:pPr>
        <w:tabs>
          <w:tab w:val="left" w:pos="1418"/>
        </w:tabs>
        <w:rPr>
          <w:rFonts w:cs="Arial"/>
          <w:b/>
          <w:szCs w:val="24"/>
        </w:rPr>
      </w:pPr>
      <w:r w:rsidRPr="00832061">
        <w:rPr>
          <w:rFonts w:cs="Arial"/>
          <w:b/>
          <w:szCs w:val="24"/>
        </w:rPr>
        <w:t xml:space="preserve">Diffuse community tensions and promote understanding </w:t>
      </w:r>
    </w:p>
    <w:p w:rsidR="00B12638" w:rsidRDefault="00B12638" w:rsidP="00B12638">
      <w:pPr>
        <w:tabs>
          <w:tab w:val="left" w:pos="1418"/>
        </w:tabs>
        <w:rPr>
          <w:rFonts w:cs="Arial"/>
          <w:szCs w:val="24"/>
        </w:rPr>
      </w:pPr>
      <w:r>
        <w:rPr>
          <w:rFonts w:cs="Arial"/>
          <w:szCs w:val="24"/>
        </w:rPr>
        <w:t>The Council supports local communities and promotes diversity through a range of events.  These events offer opportunities for the community to join together and celebrate differences:</w:t>
      </w:r>
    </w:p>
    <w:p w:rsidR="00B12638" w:rsidRPr="00344247" w:rsidRDefault="00B12638" w:rsidP="00B12638">
      <w:pPr>
        <w:pStyle w:val="ListParagraph"/>
        <w:numPr>
          <w:ilvl w:val="0"/>
          <w:numId w:val="26"/>
        </w:numPr>
        <w:tabs>
          <w:tab w:val="left" w:pos="1418"/>
        </w:tabs>
        <w:rPr>
          <w:rFonts w:ascii="Times New Roman" w:hAnsi="Times New Roman"/>
          <w:szCs w:val="24"/>
        </w:rPr>
      </w:pPr>
      <w:r w:rsidRPr="00344247">
        <w:rPr>
          <w:rFonts w:cs="Arial"/>
          <w:szCs w:val="24"/>
        </w:rPr>
        <w:t>The Council is working in partnership with Prism Arts to run a free summer school for young people and adults with learning disabilities to create puppets for the Carlisle Pageant performance</w:t>
      </w:r>
      <w:r w:rsidRPr="00344247">
        <w:rPr>
          <w:rFonts w:ascii="Times New Roman" w:hAnsi="Times New Roman"/>
          <w:szCs w:val="24"/>
        </w:rPr>
        <w:t xml:space="preserve">. </w:t>
      </w:r>
      <w:bookmarkStart w:id="12" w:name="_GoBack"/>
      <w:bookmarkEnd w:id="12"/>
    </w:p>
    <w:p w:rsidR="00B12638" w:rsidRDefault="00B12638" w:rsidP="00B12638">
      <w:pPr>
        <w:pStyle w:val="ListParagraph"/>
        <w:numPr>
          <w:ilvl w:val="0"/>
          <w:numId w:val="26"/>
        </w:numPr>
        <w:autoSpaceDE w:val="0"/>
        <w:autoSpaceDN w:val="0"/>
        <w:adjustRightInd w:val="0"/>
        <w:spacing w:after="120" w:line="320" w:lineRule="atLeast"/>
        <w:rPr>
          <w:rFonts w:cs="Arial"/>
        </w:rPr>
      </w:pPr>
      <w:r w:rsidRPr="00344247">
        <w:rPr>
          <w:rFonts w:cs="Arial"/>
        </w:rPr>
        <w:t xml:space="preserve">Free guided Breeze cycle rides were offered as part of the Festival of Sport.  </w:t>
      </w:r>
      <w:r w:rsidRPr="00344247">
        <w:rPr>
          <w:rFonts w:cs="Arial"/>
          <w:bCs/>
        </w:rPr>
        <w:t xml:space="preserve">Breeze’s aim is to help women feel more confident and comfortable about going on a bike ride. The programme also featured </w:t>
      </w:r>
      <w:r w:rsidRPr="00344247">
        <w:rPr>
          <w:rFonts w:cs="Arial"/>
        </w:rPr>
        <w:t>sports taster</w:t>
      </w:r>
      <w:r w:rsidRPr="00344247">
        <w:rPr>
          <w:rFonts w:cs="Arial"/>
          <w:b/>
          <w:bCs/>
        </w:rPr>
        <w:t xml:space="preserve"> </w:t>
      </w:r>
      <w:r w:rsidRPr="00344247">
        <w:rPr>
          <w:rFonts w:cs="Arial"/>
        </w:rPr>
        <w:t xml:space="preserve">sessions including </w:t>
      </w:r>
      <w:proofErr w:type="spellStart"/>
      <w:r w:rsidRPr="00344247">
        <w:rPr>
          <w:rFonts w:cs="Arial"/>
        </w:rPr>
        <w:t>Watchtree</w:t>
      </w:r>
      <w:proofErr w:type="spellEnd"/>
      <w:r w:rsidRPr="00344247">
        <w:rPr>
          <w:rFonts w:cs="Arial"/>
        </w:rPr>
        <w:t xml:space="preserve"> Wheelers, an organisation that specialises in adaptive cycling and encourages people of all abilities to ride.</w:t>
      </w:r>
    </w:p>
    <w:p w:rsidR="00B12638" w:rsidRPr="00344247" w:rsidRDefault="00B12638" w:rsidP="00B12638">
      <w:pPr>
        <w:pStyle w:val="ListParagraph"/>
        <w:numPr>
          <w:ilvl w:val="0"/>
          <w:numId w:val="26"/>
        </w:numPr>
        <w:autoSpaceDE w:val="0"/>
        <w:autoSpaceDN w:val="0"/>
        <w:adjustRightInd w:val="0"/>
        <w:spacing w:after="120" w:line="320" w:lineRule="atLeast"/>
        <w:rPr>
          <w:rFonts w:cs="Arial"/>
        </w:rPr>
      </w:pPr>
      <w:r w:rsidRPr="00612A07">
        <w:t>Carlisle City Council and Carlisle Leisure Limited</w:t>
      </w:r>
      <w:r>
        <w:t xml:space="preserve"> provided a</w:t>
      </w:r>
      <w:r w:rsidRPr="00612A07">
        <w:t xml:space="preserve"> programme of tennis activities </w:t>
      </w:r>
      <w:r>
        <w:t xml:space="preserve">in April 2014 that included </w:t>
      </w:r>
      <w:r>
        <w:rPr>
          <w:rFonts w:cs="Arial"/>
        </w:rPr>
        <w:t>taster sessions</w:t>
      </w:r>
      <w:r w:rsidRPr="00344247">
        <w:rPr>
          <w:rFonts w:cs="Arial"/>
        </w:rPr>
        <w:t xml:space="preserve">, wheelchair tennis and cardio tennis.   A Disability Multi Sport Open Day was also held in Bitts Park with </w:t>
      </w:r>
      <w:r w:rsidRPr="00344247">
        <w:rPr>
          <w:rFonts w:ascii="Champion-HTF-Middleweight" w:hAnsi="Champion-HTF-Middleweight" w:cs="Champion-HTF-Middleweight"/>
        </w:rPr>
        <w:t xml:space="preserve">Come &amp; Try sessions available for </w:t>
      </w:r>
      <w:r>
        <w:rPr>
          <w:rFonts w:ascii="Champion-HTF-Middleweight" w:hAnsi="Champion-HTF-Middleweight" w:cs="Champion-HTF-Middleweight"/>
        </w:rPr>
        <w:t>young people</w:t>
      </w:r>
      <w:r w:rsidRPr="00344247">
        <w:rPr>
          <w:rFonts w:ascii="Champion-HTF-Middleweight" w:hAnsi="Champion-HTF-Middleweight" w:cs="Champion-HTF-Middleweight"/>
        </w:rPr>
        <w:t xml:space="preserve"> aged between 11 and 16 years old.</w:t>
      </w:r>
    </w:p>
    <w:p w:rsidR="00B12638" w:rsidRDefault="00B12638" w:rsidP="00B12638">
      <w:pPr>
        <w:tabs>
          <w:tab w:val="left" w:pos="1418"/>
        </w:tabs>
        <w:rPr>
          <w:rFonts w:cs="Arial"/>
          <w:szCs w:val="24"/>
        </w:rPr>
      </w:pPr>
      <w:r>
        <w:rPr>
          <w:rFonts w:cs="Arial"/>
          <w:szCs w:val="24"/>
        </w:rPr>
        <w:t xml:space="preserve">  </w:t>
      </w:r>
    </w:p>
    <w:p w:rsidR="00B12638" w:rsidRDefault="00B12638" w:rsidP="00B12638">
      <w:pPr>
        <w:tabs>
          <w:tab w:val="left" w:pos="1418"/>
        </w:tabs>
        <w:rPr>
          <w:rFonts w:cs="Arial"/>
          <w:szCs w:val="24"/>
        </w:rPr>
      </w:pPr>
      <w:r>
        <w:rPr>
          <w:rFonts w:cs="Arial"/>
          <w:szCs w:val="24"/>
        </w:rPr>
        <w:t>Events supported by the Council include:</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1701"/>
      </w:tblGrid>
      <w:tr w:rsidR="00B12638" w:rsidTr="00012DEF">
        <w:tc>
          <w:tcPr>
            <w:tcW w:w="6379" w:type="dxa"/>
          </w:tcPr>
          <w:p w:rsidR="00B12638" w:rsidRPr="00EF13F2" w:rsidRDefault="00B12638" w:rsidP="00012DEF">
            <w:pPr>
              <w:spacing w:line="240" w:lineRule="auto"/>
              <w:ind w:right="-431"/>
              <w:rPr>
                <w:rFonts w:cs="Arial"/>
                <w:sz w:val="24"/>
                <w:szCs w:val="24"/>
              </w:rPr>
            </w:pPr>
            <w:r w:rsidRPr="00EF13F2">
              <w:rPr>
                <w:rFonts w:cs="Arial"/>
                <w:sz w:val="24"/>
                <w:szCs w:val="24"/>
              </w:rPr>
              <w:t>Holocaust Memorial Day</w:t>
            </w:r>
          </w:p>
          <w:p w:rsidR="00B12638" w:rsidRPr="00EF13F2" w:rsidRDefault="00B12638" w:rsidP="00012DEF">
            <w:pPr>
              <w:pStyle w:val="Title"/>
              <w:tabs>
                <w:tab w:val="left" w:pos="34"/>
              </w:tabs>
              <w:ind w:left="34"/>
              <w:jc w:val="left"/>
              <w:rPr>
                <w:rFonts w:ascii="Arial" w:hAnsi="Arial"/>
                <w:b w:val="0"/>
                <w:sz w:val="24"/>
                <w:szCs w:val="24"/>
              </w:rPr>
            </w:pPr>
            <w:r w:rsidRPr="00EF13F2">
              <w:rPr>
                <w:rFonts w:ascii="Arial" w:hAnsi="Arial"/>
                <w:b w:val="0"/>
                <w:sz w:val="24"/>
                <w:szCs w:val="24"/>
              </w:rPr>
              <w:t>Carlisle Access Group’s 21</w:t>
            </w:r>
            <w:r w:rsidRPr="00EF13F2">
              <w:rPr>
                <w:rFonts w:ascii="Arial" w:hAnsi="Arial"/>
                <w:b w:val="0"/>
                <w:sz w:val="24"/>
                <w:szCs w:val="24"/>
                <w:vertAlign w:val="superscript"/>
              </w:rPr>
              <w:t>st</w:t>
            </w:r>
            <w:r w:rsidRPr="00EF13F2">
              <w:rPr>
                <w:rFonts w:ascii="Arial" w:hAnsi="Arial"/>
                <w:b w:val="0"/>
                <w:sz w:val="24"/>
                <w:szCs w:val="24"/>
              </w:rPr>
              <w:t xml:space="preserve"> anniversary</w:t>
            </w:r>
          </w:p>
          <w:p w:rsidR="00B12638" w:rsidRPr="00EF13F2" w:rsidRDefault="00B12638" w:rsidP="00012DEF">
            <w:pPr>
              <w:spacing w:line="240" w:lineRule="auto"/>
              <w:rPr>
                <w:rFonts w:cs="Arial"/>
                <w:sz w:val="24"/>
                <w:szCs w:val="24"/>
              </w:rPr>
            </w:pPr>
            <w:r w:rsidRPr="00EF13F2">
              <w:rPr>
                <w:rFonts w:cs="Arial"/>
                <w:sz w:val="24"/>
                <w:szCs w:val="24"/>
              </w:rPr>
              <w:t>Olympic Torch Relay</w:t>
            </w:r>
          </w:p>
          <w:p w:rsidR="00B12638" w:rsidRPr="00EF13F2" w:rsidRDefault="00B12638" w:rsidP="00012DEF">
            <w:pPr>
              <w:spacing w:line="240" w:lineRule="auto"/>
              <w:rPr>
                <w:rFonts w:cs="Arial"/>
                <w:sz w:val="24"/>
                <w:szCs w:val="24"/>
              </w:rPr>
            </w:pPr>
            <w:r w:rsidRPr="00EF13F2">
              <w:rPr>
                <w:rFonts w:cs="Arial"/>
                <w:sz w:val="24"/>
                <w:szCs w:val="24"/>
              </w:rPr>
              <w:t>Queen’s Jubilee Celebrations</w:t>
            </w:r>
          </w:p>
          <w:p w:rsidR="00B12638" w:rsidRPr="00EF13F2" w:rsidRDefault="00B12638" w:rsidP="00012DEF">
            <w:pPr>
              <w:spacing w:line="240" w:lineRule="auto"/>
              <w:rPr>
                <w:rFonts w:cs="Arial"/>
                <w:sz w:val="24"/>
                <w:szCs w:val="24"/>
              </w:rPr>
            </w:pPr>
            <w:r w:rsidRPr="00EF13F2">
              <w:rPr>
                <w:rFonts w:cs="Arial"/>
                <w:sz w:val="24"/>
                <w:szCs w:val="24"/>
              </w:rPr>
              <w:t>Tour of Britain</w:t>
            </w:r>
          </w:p>
          <w:p w:rsidR="00B12638" w:rsidRDefault="00B12638" w:rsidP="00012DEF">
            <w:pPr>
              <w:spacing w:line="240" w:lineRule="auto"/>
              <w:rPr>
                <w:rFonts w:cs="Arial"/>
                <w:sz w:val="24"/>
                <w:szCs w:val="24"/>
              </w:rPr>
            </w:pPr>
            <w:r w:rsidRPr="00EF13F2">
              <w:rPr>
                <w:rFonts w:cs="Arial"/>
                <w:sz w:val="24"/>
                <w:szCs w:val="24"/>
              </w:rPr>
              <w:t>Peace Day</w:t>
            </w:r>
          </w:p>
          <w:p w:rsidR="00B12638" w:rsidRDefault="00B12638" w:rsidP="00012DEF">
            <w:pPr>
              <w:spacing w:line="240" w:lineRule="auto"/>
              <w:rPr>
                <w:rFonts w:cs="Arial"/>
                <w:sz w:val="24"/>
                <w:szCs w:val="24"/>
              </w:rPr>
            </w:pPr>
          </w:p>
          <w:p w:rsidR="00B12638" w:rsidRPr="00EF13F2" w:rsidRDefault="00B12638" w:rsidP="00012DEF">
            <w:pPr>
              <w:spacing w:line="240" w:lineRule="auto"/>
              <w:ind w:right="-431"/>
              <w:rPr>
                <w:rFonts w:cs="Arial"/>
                <w:sz w:val="24"/>
                <w:szCs w:val="24"/>
              </w:rPr>
            </w:pPr>
            <w:r w:rsidRPr="00EF13F2">
              <w:rPr>
                <w:rFonts w:cs="Arial"/>
                <w:sz w:val="24"/>
                <w:szCs w:val="24"/>
              </w:rPr>
              <w:t>English Tourism Week</w:t>
            </w:r>
          </w:p>
          <w:p w:rsidR="00B12638" w:rsidRDefault="00B12638" w:rsidP="00012DEF">
            <w:pPr>
              <w:spacing w:line="240" w:lineRule="auto"/>
              <w:ind w:right="-431"/>
              <w:rPr>
                <w:rFonts w:cs="Arial"/>
                <w:sz w:val="24"/>
                <w:szCs w:val="24"/>
              </w:rPr>
            </w:pPr>
            <w:r w:rsidRPr="00EF13F2">
              <w:rPr>
                <w:rFonts w:cs="Arial"/>
                <w:sz w:val="24"/>
                <w:szCs w:val="24"/>
              </w:rPr>
              <w:t>Homecoming Parade</w:t>
            </w:r>
          </w:p>
          <w:p w:rsidR="00B12638" w:rsidRDefault="00B12638" w:rsidP="00012DEF">
            <w:pPr>
              <w:spacing w:line="240" w:lineRule="auto"/>
              <w:ind w:right="-431"/>
              <w:rPr>
                <w:rFonts w:cs="Arial"/>
                <w:sz w:val="24"/>
                <w:szCs w:val="24"/>
              </w:rPr>
            </w:pPr>
            <w:r>
              <w:rPr>
                <w:rFonts w:cs="Arial"/>
                <w:sz w:val="24"/>
                <w:szCs w:val="24"/>
              </w:rPr>
              <w:t>Carlisle Pageant</w:t>
            </w:r>
          </w:p>
          <w:p w:rsidR="00B12638" w:rsidRDefault="00B12638" w:rsidP="00012DEF">
            <w:pPr>
              <w:spacing w:line="240" w:lineRule="auto"/>
              <w:ind w:right="-431"/>
              <w:rPr>
                <w:rFonts w:cs="Arial"/>
                <w:sz w:val="24"/>
                <w:szCs w:val="24"/>
              </w:rPr>
            </w:pPr>
          </w:p>
          <w:p w:rsidR="00B12638" w:rsidRPr="00EF13F2" w:rsidRDefault="00B12638" w:rsidP="00012DEF">
            <w:pPr>
              <w:spacing w:line="240" w:lineRule="auto"/>
              <w:rPr>
                <w:rFonts w:cs="Arial"/>
                <w:sz w:val="24"/>
                <w:szCs w:val="24"/>
              </w:rPr>
            </w:pPr>
            <w:r w:rsidRPr="00EF13F2">
              <w:rPr>
                <w:rFonts w:cs="Arial"/>
                <w:sz w:val="24"/>
                <w:szCs w:val="24"/>
              </w:rPr>
              <w:t>Cumbria Gay Pride</w:t>
            </w:r>
          </w:p>
          <w:p w:rsidR="00B12638" w:rsidRPr="00EF13F2" w:rsidRDefault="00B12638" w:rsidP="00012DEF">
            <w:pPr>
              <w:spacing w:line="240" w:lineRule="auto"/>
              <w:rPr>
                <w:rFonts w:cs="Arial"/>
                <w:sz w:val="24"/>
                <w:szCs w:val="24"/>
              </w:rPr>
            </w:pPr>
            <w:r w:rsidRPr="00EF13F2">
              <w:rPr>
                <w:rFonts w:cs="Arial"/>
                <w:sz w:val="24"/>
                <w:szCs w:val="24"/>
              </w:rPr>
              <w:t>Patriot Games (Festival of Sport)</w:t>
            </w:r>
          </w:p>
          <w:p w:rsidR="00B12638" w:rsidRPr="00EF13F2" w:rsidRDefault="00B12638" w:rsidP="00012DEF">
            <w:pPr>
              <w:spacing w:line="240" w:lineRule="auto"/>
              <w:ind w:right="-431"/>
              <w:rPr>
                <w:rFonts w:cs="Arial"/>
                <w:sz w:val="24"/>
                <w:szCs w:val="24"/>
              </w:rPr>
            </w:pPr>
          </w:p>
          <w:p w:rsidR="00B12638" w:rsidRPr="00EF13F2" w:rsidRDefault="00B12638" w:rsidP="00012DEF">
            <w:pPr>
              <w:spacing w:line="240" w:lineRule="auto"/>
              <w:rPr>
                <w:rFonts w:cs="Arial"/>
                <w:sz w:val="24"/>
                <w:szCs w:val="24"/>
              </w:rPr>
            </w:pPr>
            <w:r w:rsidRPr="00EF13F2">
              <w:rPr>
                <w:rFonts w:cs="Arial"/>
                <w:sz w:val="24"/>
                <w:szCs w:val="24"/>
              </w:rPr>
              <w:t>Easter International Market</w:t>
            </w:r>
          </w:p>
          <w:p w:rsidR="00B12638" w:rsidRDefault="00B12638" w:rsidP="00012DEF">
            <w:pPr>
              <w:spacing w:line="240" w:lineRule="auto"/>
              <w:rPr>
                <w:rFonts w:cs="Arial"/>
                <w:sz w:val="24"/>
                <w:szCs w:val="24"/>
              </w:rPr>
            </w:pPr>
            <w:r w:rsidRPr="00EF13F2">
              <w:rPr>
                <w:rFonts w:cs="Arial"/>
                <w:sz w:val="24"/>
                <w:szCs w:val="24"/>
              </w:rPr>
              <w:t>Carlisle Music City</w:t>
            </w:r>
          </w:p>
          <w:p w:rsidR="00B12638" w:rsidRDefault="00B12638" w:rsidP="00012DEF">
            <w:pPr>
              <w:spacing w:line="240" w:lineRule="auto"/>
              <w:ind w:right="-431"/>
              <w:rPr>
                <w:rFonts w:cs="Arial"/>
                <w:sz w:val="24"/>
                <w:szCs w:val="24"/>
              </w:rPr>
            </w:pPr>
            <w:proofErr w:type="spellStart"/>
            <w:r w:rsidRPr="00EF13F2">
              <w:rPr>
                <w:rFonts w:cs="Arial"/>
                <w:sz w:val="24"/>
                <w:szCs w:val="24"/>
              </w:rPr>
              <w:t>Upperby</w:t>
            </w:r>
            <w:proofErr w:type="spellEnd"/>
            <w:r w:rsidRPr="00EF13F2">
              <w:rPr>
                <w:rFonts w:cs="Arial"/>
                <w:sz w:val="24"/>
                <w:szCs w:val="24"/>
              </w:rPr>
              <w:t xml:space="preserve"> Gala</w:t>
            </w:r>
          </w:p>
          <w:p w:rsidR="00B12638" w:rsidRPr="00EF13F2" w:rsidRDefault="00B12638" w:rsidP="00012DEF">
            <w:pPr>
              <w:spacing w:line="240" w:lineRule="auto"/>
              <w:rPr>
                <w:rFonts w:cs="Arial"/>
                <w:sz w:val="24"/>
                <w:szCs w:val="24"/>
              </w:rPr>
            </w:pPr>
            <w:r w:rsidRPr="00EF13F2">
              <w:rPr>
                <w:rFonts w:cs="Arial"/>
                <w:sz w:val="24"/>
                <w:szCs w:val="24"/>
              </w:rPr>
              <w:t>Open air performances in Bitts Park</w:t>
            </w:r>
          </w:p>
          <w:p w:rsidR="00B12638" w:rsidRDefault="00B12638" w:rsidP="00012DEF">
            <w:pPr>
              <w:spacing w:line="240" w:lineRule="auto"/>
              <w:rPr>
                <w:rFonts w:cs="Arial"/>
                <w:sz w:val="24"/>
                <w:szCs w:val="24"/>
              </w:rPr>
            </w:pPr>
            <w:proofErr w:type="spellStart"/>
            <w:r w:rsidRPr="00EF13F2">
              <w:rPr>
                <w:rFonts w:cs="Arial"/>
                <w:sz w:val="24"/>
                <w:szCs w:val="24"/>
              </w:rPr>
              <w:t>Fireshow</w:t>
            </w:r>
            <w:proofErr w:type="spellEnd"/>
          </w:p>
          <w:p w:rsidR="00B12638" w:rsidRPr="00EF13F2" w:rsidRDefault="00B12638" w:rsidP="00012DEF">
            <w:pPr>
              <w:spacing w:line="240" w:lineRule="auto"/>
              <w:rPr>
                <w:rFonts w:cs="Arial"/>
                <w:sz w:val="24"/>
                <w:szCs w:val="24"/>
              </w:rPr>
            </w:pPr>
            <w:r>
              <w:rPr>
                <w:rFonts w:cs="Arial"/>
                <w:sz w:val="24"/>
                <w:szCs w:val="24"/>
              </w:rPr>
              <w:t>Remembrance service</w:t>
            </w:r>
          </w:p>
          <w:p w:rsidR="00B12638" w:rsidRDefault="00B12638" w:rsidP="00012DEF">
            <w:pPr>
              <w:spacing w:line="240" w:lineRule="auto"/>
              <w:rPr>
                <w:rFonts w:cs="Arial"/>
                <w:sz w:val="24"/>
                <w:szCs w:val="24"/>
              </w:rPr>
            </w:pPr>
            <w:r w:rsidRPr="00EF13F2">
              <w:rPr>
                <w:rFonts w:cs="Arial"/>
                <w:sz w:val="24"/>
                <w:szCs w:val="24"/>
              </w:rPr>
              <w:t>Christmas Lights Switch on</w:t>
            </w:r>
          </w:p>
          <w:p w:rsidR="00B12638" w:rsidRPr="001473E7" w:rsidRDefault="00B12638" w:rsidP="00012DEF">
            <w:pPr>
              <w:spacing w:line="240" w:lineRule="auto"/>
              <w:rPr>
                <w:rFonts w:cs="Arial"/>
                <w:sz w:val="24"/>
                <w:szCs w:val="24"/>
              </w:rPr>
            </w:pPr>
            <w:r w:rsidRPr="00EF13F2">
              <w:rPr>
                <w:rFonts w:cs="Arial"/>
                <w:sz w:val="24"/>
                <w:szCs w:val="24"/>
              </w:rPr>
              <w:t>Christmas International Market</w:t>
            </w:r>
          </w:p>
        </w:tc>
        <w:tc>
          <w:tcPr>
            <w:tcW w:w="1701" w:type="dxa"/>
          </w:tcPr>
          <w:p w:rsidR="00B12638" w:rsidRPr="002F6F13" w:rsidRDefault="00B12638" w:rsidP="00012DEF">
            <w:pPr>
              <w:spacing w:line="240" w:lineRule="auto"/>
              <w:rPr>
                <w:rFonts w:cs="Arial"/>
                <w:sz w:val="24"/>
                <w:szCs w:val="24"/>
              </w:rPr>
            </w:pPr>
            <w:r w:rsidRPr="002F6F13">
              <w:rPr>
                <w:rFonts w:cs="Arial"/>
                <w:sz w:val="24"/>
                <w:szCs w:val="24"/>
              </w:rPr>
              <w:t>2012</w:t>
            </w:r>
          </w:p>
          <w:p w:rsidR="00B12638" w:rsidRPr="002F6F13" w:rsidRDefault="00B12638" w:rsidP="00012DEF">
            <w:pPr>
              <w:spacing w:line="240" w:lineRule="auto"/>
              <w:rPr>
                <w:rFonts w:cs="Arial"/>
                <w:sz w:val="24"/>
                <w:szCs w:val="24"/>
              </w:rPr>
            </w:pPr>
            <w:r w:rsidRPr="002F6F13">
              <w:rPr>
                <w:rFonts w:cs="Arial"/>
                <w:sz w:val="24"/>
                <w:szCs w:val="24"/>
              </w:rPr>
              <w:t>2012</w:t>
            </w:r>
          </w:p>
          <w:p w:rsidR="00B12638" w:rsidRPr="002F6F13" w:rsidRDefault="00B12638" w:rsidP="00012DEF">
            <w:pPr>
              <w:spacing w:line="240" w:lineRule="auto"/>
              <w:rPr>
                <w:rFonts w:cs="Arial"/>
                <w:sz w:val="24"/>
                <w:szCs w:val="24"/>
              </w:rPr>
            </w:pPr>
            <w:r w:rsidRPr="002F6F13">
              <w:rPr>
                <w:rFonts w:cs="Arial"/>
                <w:sz w:val="24"/>
                <w:szCs w:val="24"/>
              </w:rPr>
              <w:t>2012</w:t>
            </w:r>
          </w:p>
          <w:p w:rsidR="00B12638" w:rsidRPr="002F6F13" w:rsidRDefault="00B12638" w:rsidP="00012DEF">
            <w:pPr>
              <w:spacing w:line="240" w:lineRule="auto"/>
              <w:rPr>
                <w:rFonts w:cs="Arial"/>
                <w:sz w:val="24"/>
                <w:szCs w:val="24"/>
              </w:rPr>
            </w:pPr>
            <w:r w:rsidRPr="002F6F13">
              <w:rPr>
                <w:rFonts w:cs="Arial"/>
                <w:sz w:val="24"/>
                <w:szCs w:val="24"/>
              </w:rPr>
              <w:t>2012</w:t>
            </w:r>
          </w:p>
          <w:p w:rsidR="00B12638" w:rsidRPr="002F6F13" w:rsidRDefault="00B12638" w:rsidP="00012DEF">
            <w:pPr>
              <w:spacing w:line="240" w:lineRule="auto"/>
              <w:rPr>
                <w:rFonts w:cs="Arial"/>
                <w:sz w:val="24"/>
                <w:szCs w:val="24"/>
              </w:rPr>
            </w:pPr>
            <w:r w:rsidRPr="002F6F13">
              <w:rPr>
                <w:rFonts w:cs="Arial"/>
                <w:sz w:val="24"/>
                <w:szCs w:val="24"/>
              </w:rPr>
              <w:t>2012</w:t>
            </w:r>
            <w:r>
              <w:rPr>
                <w:rFonts w:cs="Arial"/>
                <w:sz w:val="24"/>
                <w:szCs w:val="24"/>
              </w:rPr>
              <w:t>, 2013</w:t>
            </w:r>
          </w:p>
          <w:p w:rsidR="00B12638" w:rsidRPr="002F6F13" w:rsidRDefault="00B12638" w:rsidP="00012DEF">
            <w:pPr>
              <w:spacing w:line="240" w:lineRule="auto"/>
              <w:rPr>
                <w:rFonts w:cs="Arial"/>
                <w:sz w:val="24"/>
                <w:szCs w:val="24"/>
              </w:rPr>
            </w:pPr>
            <w:r w:rsidRPr="002F6F13">
              <w:rPr>
                <w:rFonts w:cs="Arial"/>
                <w:sz w:val="24"/>
                <w:szCs w:val="24"/>
              </w:rPr>
              <w:t>2012</w:t>
            </w:r>
          </w:p>
          <w:p w:rsidR="00B12638" w:rsidRDefault="00B12638" w:rsidP="00012DEF">
            <w:pPr>
              <w:spacing w:line="240" w:lineRule="auto"/>
              <w:rPr>
                <w:rFonts w:cs="Arial"/>
                <w:sz w:val="24"/>
                <w:szCs w:val="24"/>
              </w:rPr>
            </w:pPr>
          </w:p>
          <w:p w:rsidR="00B12638" w:rsidRDefault="00B12638" w:rsidP="00012DEF">
            <w:pPr>
              <w:spacing w:line="240" w:lineRule="auto"/>
              <w:rPr>
                <w:rFonts w:cs="Arial"/>
                <w:sz w:val="24"/>
                <w:szCs w:val="24"/>
              </w:rPr>
            </w:pPr>
            <w:r>
              <w:rPr>
                <w:rFonts w:cs="Arial"/>
                <w:sz w:val="24"/>
                <w:szCs w:val="24"/>
              </w:rPr>
              <w:t>2013</w:t>
            </w:r>
          </w:p>
          <w:p w:rsidR="00B12638" w:rsidRDefault="00B12638" w:rsidP="00012DEF">
            <w:pPr>
              <w:spacing w:line="240" w:lineRule="auto"/>
              <w:rPr>
                <w:rFonts w:cs="Arial"/>
                <w:sz w:val="24"/>
                <w:szCs w:val="24"/>
              </w:rPr>
            </w:pPr>
            <w:r>
              <w:rPr>
                <w:rFonts w:cs="Arial"/>
                <w:sz w:val="24"/>
                <w:szCs w:val="24"/>
              </w:rPr>
              <w:t>2013</w:t>
            </w:r>
          </w:p>
          <w:p w:rsidR="00B12638" w:rsidRPr="002F6F13" w:rsidRDefault="00B12638" w:rsidP="00012DEF">
            <w:pPr>
              <w:spacing w:line="240" w:lineRule="auto"/>
              <w:rPr>
                <w:rFonts w:cs="Arial"/>
                <w:sz w:val="24"/>
                <w:szCs w:val="24"/>
              </w:rPr>
            </w:pPr>
            <w:r>
              <w:rPr>
                <w:rFonts w:cs="Arial"/>
                <w:sz w:val="24"/>
                <w:szCs w:val="24"/>
              </w:rPr>
              <w:t>2013, 2014</w:t>
            </w:r>
          </w:p>
          <w:p w:rsidR="00B12638" w:rsidRPr="002F6F13" w:rsidRDefault="00B12638" w:rsidP="00012DEF">
            <w:pPr>
              <w:spacing w:line="240" w:lineRule="auto"/>
              <w:rPr>
                <w:rFonts w:cs="Arial"/>
                <w:sz w:val="24"/>
                <w:szCs w:val="24"/>
              </w:rPr>
            </w:pPr>
          </w:p>
          <w:p w:rsidR="00B12638" w:rsidRPr="002F6F13" w:rsidRDefault="00B12638" w:rsidP="00012DEF">
            <w:pPr>
              <w:spacing w:line="240" w:lineRule="auto"/>
              <w:rPr>
                <w:rFonts w:cs="Arial"/>
                <w:sz w:val="24"/>
                <w:szCs w:val="24"/>
              </w:rPr>
            </w:pPr>
            <w:r>
              <w:rPr>
                <w:rFonts w:cs="Arial"/>
                <w:sz w:val="24"/>
                <w:szCs w:val="24"/>
              </w:rPr>
              <w:t>2014</w:t>
            </w:r>
          </w:p>
          <w:p w:rsidR="00B12638" w:rsidRPr="002F6F13" w:rsidRDefault="00B12638" w:rsidP="00012DEF">
            <w:pPr>
              <w:spacing w:line="240" w:lineRule="auto"/>
              <w:rPr>
                <w:rFonts w:cs="Arial"/>
                <w:sz w:val="24"/>
                <w:szCs w:val="24"/>
              </w:rPr>
            </w:pPr>
            <w:r>
              <w:rPr>
                <w:rFonts w:cs="Arial"/>
                <w:sz w:val="24"/>
                <w:szCs w:val="24"/>
              </w:rPr>
              <w:t>2014</w:t>
            </w:r>
          </w:p>
          <w:p w:rsidR="00B12638" w:rsidRPr="002F6F13" w:rsidRDefault="00B12638" w:rsidP="00012DEF">
            <w:pPr>
              <w:spacing w:line="240" w:lineRule="auto"/>
              <w:rPr>
                <w:rFonts w:cs="Arial"/>
                <w:sz w:val="24"/>
                <w:szCs w:val="24"/>
              </w:rPr>
            </w:pPr>
          </w:p>
          <w:p w:rsidR="00B12638" w:rsidRPr="002F6F13"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Default="00B12638" w:rsidP="00012DEF">
            <w:pPr>
              <w:spacing w:line="240" w:lineRule="auto"/>
              <w:rPr>
                <w:rFonts w:cs="Arial"/>
                <w:sz w:val="24"/>
                <w:szCs w:val="24"/>
              </w:rPr>
            </w:pPr>
            <w:r w:rsidRPr="002F6F13">
              <w:rPr>
                <w:rFonts w:cs="Arial"/>
                <w:sz w:val="24"/>
                <w:szCs w:val="24"/>
              </w:rPr>
              <w:t>Annual</w:t>
            </w:r>
          </w:p>
          <w:p w:rsidR="00B12638" w:rsidRPr="002F6F13" w:rsidRDefault="00B12638" w:rsidP="00012DEF">
            <w:pPr>
              <w:spacing w:line="240" w:lineRule="auto"/>
              <w:rPr>
                <w:rFonts w:cs="Arial"/>
                <w:sz w:val="24"/>
                <w:szCs w:val="24"/>
              </w:rPr>
            </w:pPr>
            <w:r>
              <w:rPr>
                <w:rFonts w:cs="Arial"/>
                <w:sz w:val="24"/>
                <w:szCs w:val="24"/>
              </w:rPr>
              <w:t>Annual</w:t>
            </w:r>
          </w:p>
        </w:tc>
      </w:tr>
    </w:tbl>
    <w:p w:rsidR="00B12638" w:rsidRDefault="00B12638" w:rsidP="00B12638">
      <w:pPr>
        <w:tabs>
          <w:tab w:val="left" w:pos="1418"/>
        </w:tabs>
        <w:rPr>
          <w:rFonts w:cs="Arial"/>
          <w:szCs w:val="24"/>
        </w:rPr>
      </w:pPr>
    </w:p>
    <w:p w:rsidR="00B12638" w:rsidRDefault="00B12638" w:rsidP="00B12638">
      <w:pPr>
        <w:tabs>
          <w:tab w:val="left" w:pos="1418"/>
        </w:tabs>
        <w:rPr>
          <w:rFonts w:cs="Arial"/>
          <w:szCs w:val="24"/>
        </w:rPr>
      </w:pPr>
    </w:p>
    <w:p w:rsidR="00B12638" w:rsidRPr="0051726D" w:rsidRDefault="00B12638" w:rsidP="00B12638">
      <w:pPr>
        <w:tabs>
          <w:tab w:val="left" w:pos="1418"/>
        </w:tabs>
        <w:rPr>
          <w:rFonts w:cs="Arial"/>
          <w:szCs w:val="24"/>
        </w:rPr>
      </w:pPr>
      <w:r>
        <w:rPr>
          <w:rFonts w:cs="Arial"/>
          <w:szCs w:val="24"/>
        </w:rPr>
        <w:t>Following the Community Scrutiny Panel’s Hate Crime report in March 2014, the Council has committed to working in</w:t>
      </w:r>
      <w:r w:rsidRPr="0069715A">
        <w:t xml:space="preserve"> partnership with Cumbria Constabulary to re-launch the hate</w:t>
      </w:r>
      <w:r>
        <w:t xml:space="preserve"> incident reporting scheme. We are encouraging </w:t>
      </w:r>
      <w:r w:rsidRPr="0069715A">
        <w:t xml:space="preserve">partners and third sector organisations to take up the opportunities offered in our </w:t>
      </w:r>
      <w:r>
        <w:t>events pr</w:t>
      </w:r>
      <w:r w:rsidRPr="0069715A">
        <w:t xml:space="preserve">ogramme </w:t>
      </w:r>
      <w:r>
        <w:t>for 2014-15</w:t>
      </w:r>
      <w:r w:rsidRPr="0069715A">
        <w:t xml:space="preserve"> to raise awareness of hate crime and the reporting scheme</w:t>
      </w:r>
      <w:r>
        <w:rPr>
          <w:rFonts w:cs="Arial"/>
          <w:szCs w:val="24"/>
        </w:rPr>
        <w:t>.  Reporting centres were featured in the Carlisle Focus Summer/Autumn 2014 edition to help promote awareness.</w:t>
      </w:r>
    </w:p>
    <w:p w:rsidR="00B12638" w:rsidRDefault="00B12638" w:rsidP="00B12638">
      <w:pPr>
        <w:ind w:right="-431"/>
        <w:rPr>
          <w:rFonts w:cs="Arial"/>
          <w:b/>
          <w:szCs w:val="24"/>
        </w:rPr>
      </w:pPr>
    </w:p>
    <w:p w:rsidR="00F319DE" w:rsidRPr="00FE3DC0" w:rsidRDefault="00F319DE" w:rsidP="00B12638">
      <w:pPr>
        <w:tabs>
          <w:tab w:val="left" w:pos="709"/>
        </w:tabs>
        <w:rPr>
          <w:szCs w:val="24"/>
        </w:rPr>
      </w:pPr>
    </w:p>
    <w:p w:rsidR="001B2160" w:rsidRPr="00DD67AF" w:rsidRDefault="001B2160" w:rsidP="00F319DE">
      <w:pPr>
        <w:pStyle w:val="Normal0"/>
        <w:rPr>
          <w:rFonts w:cs="Arial"/>
          <w:b/>
        </w:rPr>
      </w:pPr>
    </w:p>
    <w:sectPr w:rsidR="001B2160" w:rsidRPr="00DD67AF" w:rsidSect="00B12638">
      <w:footerReference w:type="default" r:id="rId13"/>
      <w:type w:val="continuous"/>
      <w:pgSz w:w="11906" w:h="16838"/>
      <w:pgMar w:top="964"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EF" w:rsidRDefault="00012DEF">
      <w:pPr>
        <w:spacing w:line="240" w:lineRule="auto"/>
      </w:pPr>
      <w:r>
        <w:separator/>
      </w:r>
    </w:p>
  </w:endnote>
  <w:endnote w:type="continuationSeparator" w:id="0">
    <w:p w:rsidR="00012DEF" w:rsidRDefault="00012D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hampion-HTF-Middlewe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EF" w:rsidRDefault="0076387B">
    <w:pPr>
      <w:pStyle w:val="Normal4"/>
      <w:jc w:val="center"/>
    </w:pPr>
    <w:fldSimple w:instr="PAGE">
      <w:r w:rsidR="00E55C7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EF" w:rsidRDefault="0076387B">
    <w:pPr>
      <w:pStyle w:val="Normal4"/>
      <w:jc w:val="center"/>
    </w:pPr>
    <w:fldSimple w:instr="PAGE">
      <w:r w:rsidR="00E55C7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EF" w:rsidRDefault="00012DEF">
      <w:pPr>
        <w:spacing w:line="240" w:lineRule="auto"/>
      </w:pPr>
      <w:r>
        <w:separator/>
      </w:r>
    </w:p>
  </w:footnote>
  <w:footnote w:type="continuationSeparator" w:id="0">
    <w:p w:rsidR="00012DEF" w:rsidRDefault="00012D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D1"/>
    <w:multiLevelType w:val="hybridMultilevel"/>
    <w:tmpl w:val="367A5D70"/>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
    <w:nsid w:val="0C221A6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E3A7502"/>
    <w:multiLevelType w:val="singleLevel"/>
    <w:tmpl w:val="5DC0F326"/>
    <w:lvl w:ilvl="0">
      <w:start w:val="7"/>
      <w:numFmt w:val="decimal"/>
      <w:lvlText w:val="%1."/>
      <w:lvlJc w:val="left"/>
      <w:pPr>
        <w:tabs>
          <w:tab w:val="num" w:pos="705"/>
        </w:tabs>
        <w:ind w:left="705" w:hanging="705"/>
      </w:pPr>
      <w:rPr>
        <w:rFonts w:hint="default"/>
      </w:rPr>
    </w:lvl>
  </w:abstractNum>
  <w:abstractNum w:abstractNumId="3">
    <w:nsid w:val="192315B0"/>
    <w:multiLevelType w:val="singleLevel"/>
    <w:tmpl w:val="0809000F"/>
    <w:lvl w:ilvl="0">
      <w:start w:val="1"/>
      <w:numFmt w:val="decimal"/>
      <w:lvlText w:val="%1."/>
      <w:lvlJc w:val="left"/>
      <w:pPr>
        <w:ind w:left="720" w:hanging="360"/>
      </w:pPr>
    </w:lvl>
  </w:abstractNum>
  <w:abstractNum w:abstractNumId="4">
    <w:nsid w:val="1D7B3196"/>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5">
    <w:nsid w:val="282958F7"/>
    <w:multiLevelType w:val="singleLevel"/>
    <w:tmpl w:val="5DC0F326"/>
    <w:lvl w:ilvl="0">
      <w:start w:val="1"/>
      <w:numFmt w:val="decimal"/>
      <w:lvlText w:val="%1."/>
      <w:lvlJc w:val="left"/>
      <w:pPr>
        <w:tabs>
          <w:tab w:val="num" w:pos="705"/>
        </w:tabs>
        <w:ind w:left="705" w:hanging="705"/>
      </w:pPr>
      <w:rPr>
        <w:rFonts w:hint="default"/>
      </w:rPr>
    </w:lvl>
  </w:abstractNum>
  <w:abstractNum w:abstractNumId="6">
    <w:nsid w:val="28C66BB3"/>
    <w:multiLevelType w:val="hybridMultilevel"/>
    <w:tmpl w:val="04B02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3801A9"/>
    <w:multiLevelType w:val="hybridMultilevel"/>
    <w:tmpl w:val="CEAE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634DA"/>
    <w:multiLevelType w:val="singleLevel"/>
    <w:tmpl w:val="B7920FAC"/>
    <w:lvl w:ilvl="0">
      <w:start w:val="4"/>
      <w:numFmt w:val="decimal"/>
      <w:lvlText w:val="%1."/>
      <w:lvlJc w:val="left"/>
      <w:pPr>
        <w:tabs>
          <w:tab w:val="num" w:pos="703"/>
        </w:tabs>
        <w:ind w:left="703" w:hanging="703"/>
      </w:pPr>
    </w:lvl>
  </w:abstractNum>
  <w:abstractNum w:abstractNumId="9">
    <w:nsid w:val="35F23CB2"/>
    <w:multiLevelType w:val="singleLevel"/>
    <w:tmpl w:val="65FC1308"/>
    <w:lvl w:ilvl="0">
      <w:start w:val="1"/>
      <w:numFmt w:val="bullet"/>
      <w:lvlText w:val=""/>
      <w:lvlJc w:val="left"/>
      <w:pPr>
        <w:tabs>
          <w:tab w:val="num" w:pos="737"/>
        </w:tabs>
        <w:ind w:left="737" w:hanging="737"/>
      </w:pPr>
      <w:rPr>
        <w:rFonts w:ascii="Symbol" w:hAnsi="Symbol" w:hint="default"/>
      </w:rPr>
    </w:lvl>
  </w:abstractNum>
  <w:abstractNum w:abstractNumId="10">
    <w:nsid w:val="37F85438"/>
    <w:multiLevelType w:val="singleLevel"/>
    <w:tmpl w:val="5DC0F326"/>
    <w:lvl w:ilvl="0">
      <w:start w:val="7"/>
      <w:numFmt w:val="decimal"/>
      <w:lvlText w:val="%1."/>
      <w:lvlJc w:val="left"/>
      <w:pPr>
        <w:tabs>
          <w:tab w:val="num" w:pos="705"/>
        </w:tabs>
        <w:ind w:left="705" w:hanging="705"/>
      </w:pPr>
      <w:rPr>
        <w:rFonts w:hint="default"/>
      </w:rPr>
    </w:lvl>
  </w:abstractNum>
  <w:abstractNum w:abstractNumId="11">
    <w:nsid w:val="391B0655"/>
    <w:multiLevelType w:val="singleLevel"/>
    <w:tmpl w:val="5DC0F326"/>
    <w:lvl w:ilvl="0">
      <w:start w:val="12"/>
      <w:numFmt w:val="decimal"/>
      <w:lvlText w:val="%1."/>
      <w:lvlJc w:val="left"/>
      <w:pPr>
        <w:tabs>
          <w:tab w:val="num" w:pos="705"/>
        </w:tabs>
        <w:ind w:left="705" w:hanging="705"/>
      </w:pPr>
      <w:rPr>
        <w:rFonts w:hint="default"/>
      </w:rPr>
    </w:lvl>
  </w:abstractNum>
  <w:abstractNum w:abstractNumId="12">
    <w:nsid w:val="3DEF2BC4"/>
    <w:multiLevelType w:val="singleLevel"/>
    <w:tmpl w:val="5DC0F326"/>
    <w:lvl w:ilvl="0">
      <w:start w:val="7"/>
      <w:numFmt w:val="decimal"/>
      <w:lvlText w:val="%1."/>
      <w:lvlJc w:val="left"/>
      <w:pPr>
        <w:tabs>
          <w:tab w:val="num" w:pos="705"/>
        </w:tabs>
        <w:ind w:left="705" w:hanging="705"/>
      </w:pPr>
      <w:rPr>
        <w:rFonts w:hint="default"/>
      </w:rPr>
    </w:lvl>
  </w:abstractNum>
  <w:abstractNum w:abstractNumId="13">
    <w:nsid w:val="3E534A01"/>
    <w:multiLevelType w:val="singleLevel"/>
    <w:tmpl w:val="B7920FAC"/>
    <w:lvl w:ilvl="0">
      <w:start w:val="4"/>
      <w:numFmt w:val="decimal"/>
      <w:lvlText w:val="%1."/>
      <w:lvlJc w:val="left"/>
      <w:pPr>
        <w:tabs>
          <w:tab w:val="num" w:pos="703"/>
        </w:tabs>
        <w:ind w:left="703" w:hanging="703"/>
      </w:pPr>
    </w:lvl>
  </w:abstractNum>
  <w:abstractNum w:abstractNumId="14">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5">
    <w:nsid w:val="44052F73"/>
    <w:multiLevelType w:val="singleLevel"/>
    <w:tmpl w:val="B7920FAC"/>
    <w:lvl w:ilvl="0">
      <w:start w:val="4"/>
      <w:numFmt w:val="decimal"/>
      <w:lvlText w:val="%1."/>
      <w:lvlJc w:val="left"/>
      <w:pPr>
        <w:tabs>
          <w:tab w:val="num" w:pos="703"/>
        </w:tabs>
        <w:ind w:left="703" w:hanging="703"/>
      </w:pPr>
    </w:lvl>
  </w:abstractNum>
  <w:abstractNum w:abstractNumId="16">
    <w:nsid w:val="44647A8C"/>
    <w:multiLevelType w:val="multilevel"/>
    <w:tmpl w:val="28047CC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D87906"/>
    <w:multiLevelType w:val="singleLevel"/>
    <w:tmpl w:val="4AC028D8"/>
    <w:lvl w:ilvl="0">
      <w:start w:val="1"/>
      <w:numFmt w:val="decimal"/>
      <w:lvlText w:val="%1."/>
      <w:lvlJc w:val="left"/>
      <w:pPr>
        <w:tabs>
          <w:tab w:val="num" w:pos="703"/>
        </w:tabs>
        <w:ind w:left="703" w:hanging="703"/>
      </w:pPr>
      <w:rPr>
        <w:b/>
        <w:i w:val="0"/>
      </w:rPr>
    </w:lvl>
  </w:abstractNum>
  <w:abstractNum w:abstractNumId="18">
    <w:nsid w:val="58754BA1"/>
    <w:multiLevelType w:val="singleLevel"/>
    <w:tmpl w:val="5DC0F326"/>
    <w:lvl w:ilvl="0">
      <w:start w:val="7"/>
      <w:numFmt w:val="decimal"/>
      <w:lvlText w:val="%1."/>
      <w:lvlJc w:val="left"/>
      <w:pPr>
        <w:tabs>
          <w:tab w:val="num" w:pos="705"/>
        </w:tabs>
        <w:ind w:left="705" w:hanging="705"/>
      </w:pPr>
      <w:rPr>
        <w:rFonts w:hint="default"/>
      </w:rPr>
    </w:lvl>
  </w:abstractNum>
  <w:abstractNum w:abstractNumId="19">
    <w:nsid w:val="5FF21E4E"/>
    <w:multiLevelType w:val="hybridMultilevel"/>
    <w:tmpl w:val="967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8571B"/>
    <w:multiLevelType w:val="singleLevel"/>
    <w:tmpl w:val="5DC0F326"/>
    <w:lvl w:ilvl="0">
      <w:start w:val="7"/>
      <w:numFmt w:val="decimal"/>
      <w:lvlText w:val="%1."/>
      <w:lvlJc w:val="left"/>
      <w:pPr>
        <w:tabs>
          <w:tab w:val="num" w:pos="705"/>
        </w:tabs>
        <w:ind w:left="705" w:hanging="705"/>
      </w:pPr>
      <w:rPr>
        <w:rFonts w:hint="default"/>
      </w:rPr>
    </w:lvl>
  </w:abstractNum>
  <w:abstractNum w:abstractNumId="21">
    <w:nsid w:val="6C361BA5"/>
    <w:multiLevelType w:val="hybridMultilevel"/>
    <w:tmpl w:val="9034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DA5E24"/>
    <w:multiLevelType w:val="hybridMultilevel"/>
    <w:tmpl w:val="AE70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24">
    <w:nsid w:val="7E305598"/>
    <w:multiLevelType w:val="singleLevel"/>
    <w:tmpl w:val="5DC0F326"/>
    <w:lvl w:ilvl="0">
      <w:start w:val="11"/>
      <w:numFmt w:val="decimal"/>
      <w:lvlText w:val="%1."/>
      <w:lvlJc w:val="left"/>
      <w:pPr>
        <w:tabs>
          <w:tab w:val="num" w:pos="705"/>
        </w:tabs>
        <w:ind w:left="705" w:hanging="705"/>
      </w:pPr>
      <w:rPr>
        <w:rFonts w:hint="default"/>
      </w:rPr>
    </w:lvl>
  </w:abstractNum>
  <w:abstractNum w:abstractNumId="25">
    <w:nsid w:val="7F901B4E"/>
    <w:multiLevelType w:val="singleLevel"/>
    <w:tmpl w:val="B7920FAC"/>
    <w:lvl w:ilvl="0">
      <w:start w:val="4"/>
      <w:numFmt w:val="decimal"/>
      <w:lvlText w:val="%1."/>
      <w:lvlJc w:val="left"/>
      <w:pPr>
        <w:tabs>
          <w:tab w:val="num" w:pos="703"/>
        </w:tabs>
        <w:ind w:left="703" w:hanging="703"/>
      </w:pPr>
    </w:lvl>
  </w:abstractNum>
  <w:num w:numId="1">
    <w:abstractNumId w:val="1"/>
  </w:num>
  <w:num w:numId="2">
    <w:abstractNumId w:val="9"/>
  </w:num>
  <w:num w:numId="3">
    <w:abstractNumId w:val="18"/>
  </w:num>
  <w:num w:numId="4">
    <w:abstractNumId w:val="16"/>
  </w:num>
  <w:num w:numId="5">
    <w:abstractNumId w:val="20"/>
  </w:num>
  <w:num w:numId="6">
    <w:abstractNumId w:val="24"/>
  </w:num>
  <w:num w:numId="7">
    <w:abstractNumId w:val="25"/>
  </w:num>
  <w:num w:numId="8">
    <w:abstractNumId w:val="12"/>
  </w:num>
  <w:num w:numId="9">
    <w:abstractNumId w:val="13"/>
  </w:num>
  <w:num w:numId="10">
    <w:abstractNumId w:val="17"/>
  </w:num>
  <w:num w:numId="11">
    <w:abstractNumId w:val="10"/>
  </w:num>
  <w:num w:numId="12">
    <w:abstractNumId w:val="5"/>
  </w:num>
  <w:num w:numId="13">
    <w:abstractNumId w:val="17"/>
  </w:num>
  <w:num w:numId="14">
    <w:abstractNumId w:val="11"/>
  </w:num>
  <w:num w:numId="15">
    <w:abstractNumId w:val="17"/>
  </w:num>
  <w:num w:numId="16">
    <w:abstractNumId w:val="17"/>
  </w:num>
  <w:num w:numId="17">
    <w:abstractNumId w:val="14"/>
  </w:num>
  <w:num w:numId="18">
    <w:abstractNumId w:val="4"/>
  </w:num>
  <w:num w:numId="19">
    <w:abstractNumId w:val="23"/>
  </w:num>
  <w:num w:numId="20">
    <w:abstractNumId w:val="6"/>
  </w:num>
  <w:num w:numId="21">
    <w:abstractNumId w:val="3"/>
    <w:lvlOverride w:ilvl="0">
      <w:startOverride w:val="1"/>
    </w:lvlOverride>
  </w:num>
  <w:num w:numId="22">
    <w:abstractNumId w:val="0"/>
  </w:num>
  <w:num w:numId="23">
    <w:abstractNumId w:val="22"/>
  </w:num>
  <w:num w:numId="24">
    <w:abstractNumId w:val="21"/>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savePreviewPicture/>
  <w:hdrShapeDefaults>
    <o:shapedefaults v:ext="edit" spidmax="108545" fillcolor="white">
      <v:fill color="white"/>
      <o:colormenu v:ext="edit" fillcolor="none"/>
    </o:shapedefaults>
  </w:hdrShapeDefaults>
  <w:footnotePr>
    <w:footnote w:id="-1"/>
    <w:footnote w:id="0"/>
  </w:footnotePr>
  <w:endnotePr>
    <w:endnote w:id="-1"/>
    <w:endnote w:id="0"/>
  </w:endnotePr>
  <w:compat/>
  <w:rsids>
    <w:rsidRoot w:val="00B72232"/>
    <w:rsid w:val="0001032F"/>
    <w:rsid w:val="00012DEF"/>
    <w:rsid w:val="000137DA"/>
    <w:rsid w:val="0001671E"/>
    <w:rsid w:val="0001753D"/>
    <w:rsid w:val="000474A5"/>
    <w:rsid w:val="00070D2C"/>
    <w:rsid w:val="000A0C61"/>
    <w:rsid w:val="000A63E2"/>
    <w:rsid w:val="000C0F49"/>
    <w:rsid w:val="000D33FD"/>
    <w:rsid w:val="000F5476"/>
    <w:rsid w:val="00113F52"/>
    <w:rsid w:val="00141EBB"/>
    <w:rsid w:val="00162A7E"/>
    <w:rsid w:val="00170105"/>
    <w:rsid w:val="001712D0"/>
    <w:rsid w:val="00184CD5"/>
    <w:rsid w:val="00192A80"/>
    <w:rsid w:val="001B2160"/>
    <w:rsid w:val="001D1240"/>
    <w:rsid w:val="001D1A84"/>
    <w:rsid w:val="001D1F36"/>
    <w:rsid w:val="001F01D2"/>
    <w:rsid w:val="00201AE5"/>
    <w:rsid w:val="00211E8E"/>
    <w:rsid w:val="00214401"/>
    <w:rsid w:val="002152A1"/>
    <w:rsid w:val="00216C0C"/>
    <w:rsid w:val="00232673"/>
    <w:rsid w:val="002333BA"/>
    <w:rsid w:val="002703E5"/>
    <w:rsid w:val="00272097"/>
    <w:rsid w:val="00274EA4"/>
    <w:rsid w:val="002A2564"/>
    <w:rsid w:val="002D6AA8"/>
    <w:rsid w:val="003315DD"/>
    <w:rsid w:val="0036395C"/>
    <w:rsid w:val="00373641"/>
    <w:rsid w:val="003959EC"/>
    <w:rsid w:val="003B22FB"/>
    <w:rsid w:val="003E4236"/>
    <w:rsid w:val="004055A1"/>
    <w:rsid w:val="00405AC1"/>
    <w:rsid w:val="00435E05"/>
    <w:rsid w:val="004443B1"/>
    <w:rsid w:val="00450CCC"/>
    <w:rsid w:val="0046601F"/>
    <w:rsid w:val="00466AF8"/>
    <w:rsid w:val="004730C1"/>
    <w:rsid w:val="00481566"/>
    <w:rsid w:val="00492EEE"/>
    <w:rsid w:val="00493EE6"/>
    <w:rsid w:val="004974F1"/>
    <w:rsid w:val="004A1AD6"/>
    <w:rsid w:val="004B1981"/>
    <w:rsid w:val="004E7FB9"/>
    <w:rsid w:val="00513856"/>
    <w:rsid w:val="00543D1A"/>
    <w:rsid w:val="00553391"/>
    <w:rsid w:val="0056460E"/>
    <w:rsid w:val="00566526"/>
    <w:rsid w:val="00593A12"/>
    <w:rsid w:val="00596155"/>
    <w:rsid w:val="005B2D4F"/>
    <w:rsid w:val="005C50FA"/>
    <w:rsid w:val="005E568C"/>
    <w:rsid w:val="00614492"/>
    <w:rsid w:val="00634080"/>
    <w:rsid w:val="00653A63"/>
    <w:rsid w:val="00654EE5"/>
    <w:rsid w:val="0068451D"/>
    <w:rsid w:val="00690064"/>
    <w:rsid w:val="00690A13"/>
    <w:rsid w:val="006B76CA"/>
    <w:rsid w:val="006C2C92"/>
    <w:rsid w:val="006C2E30"/>
    <w:rsid w:val="006C7D24"/>
    <w:rsid w:val="006D4676"/>
    <w:rsid w:val="006D5F51"/>
    <w:rsid w:val="006D6BE1"/>
    <w:rsid w:val="00716C2A"/>
    <w:rsid w:val="0072098C"/>
    <w:rsid w:val="00723DBF"/>
    <w:rsid w:val="0072730E"/>
    <w:rsid w:val="00735C58"/>
    <w:rsid w:val="007412A7"/>
    <w:rsid w:val="00753431"/>
    <w:rsid w:val="00761574"/>
    <w:rsid w:val="00763550"/>
    <w:rsid w:val="0076387B"/>
    <w:rsid w:val="00765A3A"/>
    <w:rsid w:val="00767038"/>
    <w:rsid w:val="00781771"/>
    <w:rsid w:val="007A54E1"/>
    <w:rsid w:val="007C2298"/>
    <w:rsid w:val="007D0A3D"/>
    <w:rsid w:val="007E2B56"/>
    <w:rsid w:val="007E4E4C"/>
    <w:rsid w:val="007F3260"/>
    <w:rsid w:val="00801AC1"/>
    <w:rsid w:val="00845EE2"/>
    <w:rsid w:val="00846F5B"/>
    <w:rsid w:val="00847D87"/>
    <w:rsid w:val="0086685A"/>
    <w:rsid w:val="008B7CC2"/>
    <w:rsid w:val="008E4DC2"/>
    <w:rsid w:val="00914D05"/>
    <w:rsid w:val="00916CB7"/>
    <w:rsid w:val="00942FAF"/>
    <w:rsid w:val="00972524"/>
    <w:rsid w:val="00982B73"/>
    <w:rsid w:val="00982E9D"/>
    <w:rsid w:val="00983CEE"/>
    <w:rsid w:val="009876DF"/>
    <w:rsid w:val="00997A40"/>
    <w:rsid w:val="009A6F73"/>
    <w:rsid w:val="009B6322"/>
    <w:rsid w:val="009E04A8"/>
    <w:rsid w:val="00A14760"/>
    <w:rsid w:val="00A15BFA"/>
    <w:rsid w:val="00A52BFA"/>
    <w:rsid w:val="00A60058"/>
    <w:rsid w:val="00A63BAF"/>
    <w:rsid w:val="00A71131"/>
    <w:rsid w:val="00A71B36"/>
    <w:rsid w:val="00A756A4"/>
    <w:rsid w:val="00A82ABD"/>
    <w:rsid w:val="00A94BB4"/>
    <w:rsid w:val="00AA318A"/>
    <w:rsid w:val="00AD1ACD"/>
    <w:rsid w:val="00AF7670"/>
    <w:rsid w:val="00AF7E4C"/>
    <w:rsid w:val="00B0221C"/>
    <w:rsid w:val="00B12638"/>
    <w:rsid w:val="00B17848"/>
    <w:rsid w:val="00B4224F"/>
    <w:rsid w:val="00B45780"/>
    <w:rsid w:val="00B72232"/>
    <w:rsid w:val="00B76497"/>
    <w:rsid w:val="00B9514D"/>
    <w:rsid w:val="00B96050"/>
    <w:rsid w:val="00BA09C9"/>
    <w:rsid w:val="00BA39BF"/>
    <w:rsid w:val="00BB39F3"/>
    <w:rsid w:val="00BD7F54"/>
    <w:rsid w:val="00CB21A5"/>
    <w:rsid w:val="00CD117F"/>
    <w:rsid w:val="00CD6343"/>
    <w:rsid w:val="00CF3350"/>
    <w:rsid w:val="00D07F6D"/>
    <w:rsid w:val="00D36A4B"/>
    <w:rsid w:val="00D61226"/>
    <w:rsid w:val="00D640A8"/>
    <w:rsid w:val="00D81598"/>
    <w:rsid w:val="00D821ED"/>
    <w:rsid w:val="00D85583"/>
    <w:rsid w:val="00DA4B2E"/>
    <w:rsid w:val="00DC72E4"/>
    <w:rsid w:val="00DD5EF6"/>
    <w:rsid w:val="00DD67AF"/>
    <w:rsid w:val="00DE6AFD"/>
    <w:rsid w:val="00DE7F24"/>
    <w:rsid w:val="00E2510C"/>
    <w:rsid w:val="00E41B44"/>
    <w:rsid w:val="00E45A82"/>
    <w:rsid w:val="00E5534E"/>
    <w:rsid w:val="00E55A75"/>
    <w:rsid w:val="00E55C71"/>
    <w:rsid w:val="00E95808"/>
    <w:rsid w:val="00EA4459"/>
    <w:rsid w:val="00EB1683"/>
    <w:rsid w:val="00EB3F10"/>
    <w:rsid w:val="00ED1E4B"/>
    <w:rsid w:val="00EE4963"/>
    <w:rsid w:val="00EF2C3C"/>
    <w:rsid w:val="00F052E6"/>
    <w:rsid w:val="00F17A3D"/>
    <w:rsid w:val="00F30523"/>
    <w:rsid w:val="00F319DE"/>
    <w:rsid w:val="00F46552"/>
    <w:rsid w:val="00F514EE"/>
    <w:rsid w:val="00F804B8"/>
    <w:rsid w:val="00F808C1"/>
    <w:rsid w:val="00FC4AB6"/>
    <w:rsid w:val="00FD72B8"/>
    <w:rsid w:val="00FE2C9B"/>
    <w:rsid w:val="00FE7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o:colormenu v:ext="edit" fill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2160"/>
    <w:pPr>
      <w:tabs>
        <w:tab w:val="center" w:pos="4153"/>
        <w:tab w:val="right" w:pos="8306"/>
      </w:tabs>
    </w:pPr>
  </w:style>
  <w:style w:type="paragraph" w:styleId="Footer">
    <w:name w:val="footer"/>
    <w:basedOn w:val="Normal"/>
    <w:semiHidden/>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character" w:customStyle="1" w:styleId="HeaderChar">
    <w:name w:val="Header Char"/>
    <w:basedOn w:val="DefaultParagraphFont"/>
    <w:link w:val="Header"/>
    <w:semiHidden/>
    <w:rsid w:val="009E04A8"/>
    <w:rPr>
      <w:rFonts w:ascii="Arial" w:hAnsi="Arial"/>
      <w:sz w:val="24"/>
    </w:rPr>
  </w:style>
  <w:style w:type="paragraph" w:customStyle="1" w:styleId="Normal0">
    <w:name w:val="Normal_0"/>
    <w:qFormat/>
    <w:rsid w:val="00493EE6"/>
    <w:rPr>
      <w:sz w:val="24"/>
      <w:szCs w:val="24"/>
      <w:lang w:val="en-US" w:eastAsia="en-US"/>
    </w:rPr>
  </w:style>
  <w:style w:type="paragraph" w:customStyle="1" w:styleId="Normal1">
    <w:name w:val="Normal_1"/>
    <w:qFormat/>
    <w:rsid w:val="00493EE6"/>
    <w:rPr>
      <w:sz w:val="24"/>
      <w:szCs w:val="24"/>
      <w:lang w:val="en-US" w:eastAsia="en-US"/>
    </w:rPr>
  </w:style>
  <w:style w:type="paragraph" w:customStyle="1" w:styleId="Normal2">
    <w:name w:val="Normal_2"/>
    <w:qFormat/>
    <w:rsid w:val="00493EE6"/>
    <w:rPr>
      <w:sz w:val="24"/>
      <w:szCs w:val="24"/>
      <w:lang w:val="en-US" w:eastAsia="en-US"/>
    </w:rPr>
  </w:style>
  <w:style w:type="paragraph" w:customStyle="1" w:styleId="Normal3">
    <w:name w:val="Normal_3"/>
    <w:qFormat/>
    <w:rsid w:val="00493EE6"/>
    <w:rPr>
      <w:sz w:val="24"/>
      <w:szCs w:val="24"/>
      <w:lang w:val="en-US" w:eastAsia="en-US"/>
    </w:rPr>
  </w:style>
  <w:style w:type="paragraph" w:customStyle="1" w:styleId="Normal4">
    <w:name w:val="Normal_4"/>
    <w:qFormat/>
    <w:rsid w:val="00493EE6"/>
    <w:rPr>
      <w:sz w:val="24"/>
      <w:szCs w:val="24"/>
      <w:lang w:val="en-US" w:eastAsia="en-US"/>
    </w:rPr>
  </w:style>
  <w:style w:type="paragraph" w:styleId="BalloonText">
    <w:name w:val="Balloon Text"/>
    <w:basedOn w:val="Normal"/>
    <w:link w:val="BalloonTextChar"/>
    <w:uiPriority w:val="99"/>
    <w:semiHidden/>
    <w:unhideWhenUsed/>
    <w:rsid w:val="00493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E6"/>
    <w:rPr>
      <w:rFonts w:ascii="Tahoma" w:hAnsi="Tahoma" w:cs="Tahoma"/>
      <w:sz w:val="16"/>
      <w:szCs w:val="16"/>
    </w:rPr>
  </w:style>
  <w:style w:type="table" w:styleId="TableGrid">
    <w:name w:val="Table Grid"/>
    <w:basedOn w:val="TableNormal"/>
    <w:rsid w:val="00B126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12638"/>
    <w:pPr>
      <w:spacing w:line="240" w:lineRule="auto"/>
      <w:jc w:val="center"/>
    </w:pPr>
    <w:rPr>
      <w:rFonts w:ascii="Tahoma" w:hAnsi="Tahoma"/>
      <w:b/>
      <w:lang w:eastAsia="en-US"/>
    </w:rPr>
  </w:style>
  <w:style w:type="character" w:customStyle="1" w:styleId="TitleChar">
    <w:name w:val="Title Char"/>
    <w:basedOn w:val="DefaultParagraphFont"/>
    <w:link w:val="Title"/>
    <w:rsid w:val="00B12638"/>
    <w:rPr>
      <w:rFonts w:ascii="Tahoma" w:hAnsi="Tahoma"/>
      <w:b/>
      <w:sz w:val="24"/>
      <w:lang w:eastAsia="en-US"/>
    </w:rPr>
  </w:style>
</w:styles>
</file>

<file path=word/webSettings.xml><?xml version="1.0" encoding="utf-8"?>
<w:webSettings xmlns:r="http://schemas.openxmlformats.org/officeDocument/2006/relationships" xmlns:w="http://schemas.openxmlformats.org/wordprocessingml/2006/main">
  <w:divs>
    <w:div w:id="13653212">
      <w:bodyDiv w:val="1"/>
      <w:marLeft w:val="0"/>
      <w:marRight w:val="0"/>
      <w:marTop w:val="0"/>
      <w:marBottom w:val="0"/>
      <w:divBdr>
        <w:top w:val="none" w:sz="0" w:space="0" w:color="auto"/>
        <w:left w:val="none" w:sz="0" w:space="0" w:color="auto"/>
        <w:bottom w:val="none" w:sz="0" w:space="0" w:color="auto"/>
        <w:right w:val="none" w:sz="0" w:space="0" w:color="auto"/>
      </w:divBdr>
    </w:div>
    <w:div w:id="140007334">
      <w:bodyDiv w:val="1"/>
      <w:marLeft w:val="0"/>
      <w:marRight w:val="0"/>
      <w:marTop w:val="0"/>
      <w:marBottom w:val="0"/>
      <w:divBdr>
        <w:top w:val="none" w:sz="0" w:space="0" w:color="auto"/>
        <w:left w:val="none" w:sz="0" w:space="0" w:color="auto"/>
        <w:bottom w:val="none" w:sz="0" w:space="0" w:color="auto"/>
        <w:right w:val="none" w:sz="0" w:space="0" w:color="auto"/>
      </w:divBdr>
    </w:div>
    <w:div w:id="166405383">
      <w:bodyDiv w:val="1"/>
      <w:marLeft w:val="0"/>
      <w:marRight w:val="0"/>
      <w:marTop w:val="0"/>
      <w:marBottom w:val="0"/>
      <w:divBdr>
        <w:top w:val="none" w:sz="0" w:space="0" w:color="auto"/>
        <w:left w:val="none" w:sz="0" w:space="0" w:color="auto"/>
        <w:bottom w:val="none" w:sz="0" w:space="0" w:color="auto"/>
        <w:right w:val="none" w:sz="0" w:space="0" w:color="auto"/>
      </w:divBdr>
    </w:div>
    <w:div w:id="998770129">
      <w:bodyDiv w:val="1"/>
      <w:marLeft w:val="0"/>
      <w:marRight w:val="0"/>
      <w:marTop w:val="0"/>
      <w:marBottom w:val="0"/>
      <w:divBdr>
        <w:top w:val="none" w:sz="0" w:space="0" w:color="auto"/>
        <w:left w:val="none" w:sz="0" w:space="0" w:color="auto"/>
        <w:bottom w:val="none" w:sz="0" w:space="0" w:color="auto"/>
        <w:right w:val="none" w:sz="0" w:space="0" w:color="auto"/>
      </w:divBdr>
    </w:div>
    <w:div w:id="1149516564">
      <w:bodyDiv w:val="1"/>
      <w:marLeft w:val="0"/>
      <w:marRight w:val="0"/>
      <w:marTop w:val="0"/>
      <w:marBottom w:val="0"/>
      <w:divBdr>
        <w:top w:val="none" w:sz="0" w:space="0" w:color="auto"/>
        <w:left w:val="none" w:sz="0" w:space="0" w:color="auto"/>
        <w:bottom w:val="none" w:sz="0" w:space="0" w:color="auto"/>
        <w:right w:val="none" w:sz="0" w:space="0" w:color="auto"/>
      </w:divBdr>
    </w:div>
    <w:div w:id="1442607794">
      <w:bodyDiv w:val="1"/>
      <w:marLeft w:val="0"/>
      <w:marRight w:val="0"/>
      <w:marTop w:val="0"/>
      <w:marBottom w:val="0"/>
      <w:divBdr>
        <w:top w:val="none" w:sz="0" w:space="0" w:color="auto"/>
        <w:left w:val="none" w:sz="0" w:space="0" w:color="auto"/>
        <w:bottom w:val="none" w:sz="0" w:space="0" w:color="auto"/>
        <w:right w:val="none" w:sz="0" w:space="0" w:color="auto"/>
      </w:divBdr>
    </w:div>
    <w:div w:id="1444035262">
      <w:bodyDiv w:val="1"/>
      <w:marLeft w:val="0"/>
      <w:marRight w:val="0"/>
      <w:marTop w:val="0"/>
      <w:marBottom w:val="0"/>
      <w:divBdr>
        <w:top w:val="none" w:sz="0" w:space="0" w:color="auto"/>
        <w:left w:val="none" w:sz="0" w:space="0" w:color="auto"/>
        <w:bottom w:val="none" w:sz="0" w:space="0" w:color="auto"/>
        <w:right w:val="none" w:sz="0" w:space="0" w:color="auto"/>
      </w:divBdr>
    </w:div>
    <w:div w:id="1610698799">
      <w:bodyDiv w:val="1"/>
      <w:marLeft w:val="0"/>
      <w:marRight w:val="0"/>
      <w:marTop w:val="0"/>
      <w:marBottom w:val="0"/>
      <w:divBdr>
        <w:top w:val="none" w:sz="0" w:space="0" w:color="auto"/>
        <w:left w:val="none" w:sz="0" w:space="0" w:color="auto"/>
        <w:bottom w:val="none" w:sz="0" w:space="0" w:color="auto"/>
        <w:right w:val="none" w:sz="0" w:space="0" w:color="auto"/>
      </w:divBdr>
    </w:div>
    <w:div w:id="1751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New%20Executive%20&amp;%20Portfolio%20Holder%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67F43F-176A-4C58-8595-EA0DCE672600}"/>
</file>

<file path=customXml/itemProps2.xml><?xml version="1.0" encoding="utf-8"?>
<ds:datastoreItem xmlns:ds="http://schemas.openxmlformats.org/officeDocument/2006/customXml" ds:itemID="{5532C62A-B4D0-48B4-AEB1-C064FA17D56C}"/>
</file>

<file path=customXml/itemProps3.xml><?xml version="1.0" encoding="utf-8"?>
<ds:datastoreItem xmlns:ds="http://schemas.openxmlformats.org/officeDocument/2006/customXml" ds:itemID="{0361AD0B-1CDA-43CF-A0CD-2DBAE376FCEC}"/>
</file>

<file path=customXml/itemProps4.xml><?xml version="1.0" encoding="utf-8"?>
<ds:datastoreItem xmlns:ds="http://schemas.openxmlformats.org/officeDocument/2006/customXml" ds:itemID="{32505720-FAB0-4832-96B1-13313263294F}"/>
</file>

<file path=docProps/app.xml><?xml version="1.0" encoding="utf-8"?>
<Properties xmlns="http://schemas.openxmlformats.org/officeDocument/2006/extended-properties" xmlns:vt="http://schemas.openxmlformats.org/officeDocument/2006/docPropsVTypes">
  <Template>New Executive &amp; Portfolio Holder Report</Template>
  <TotalTime>21</TotalTime>
  <Pages>7</Pages>
  <Words>2152</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END OF YEAR PERFORMANCE REPORT 2013/14</vt:lpstr>
    </vt:vector>
  </TitlesOfParts>
  <Company>Carlisle City Council, I.T. Services</Company>
  <LinksUpToDate>false</LinksUpToDate>
  <CharactersWithSpaces>14137</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PERFORMANCE REPORT 2013/14</dc:title>
  <dc:subject/>
  <dc:creator> </dc:creator>
  <cp:keywords/>
  <dc:description/>
  <cp:lastModifiedBy>rebeccat</cp:lastModifiedBy>
  <cp:revision>5</cp:revision>
  <cp:lastPrinted>2001-08-30T15:40:00Z</cp:lastPrinted>
  <dcterms:created xsi:type="dcterms:W3CDTF">2014-08-14T11:01:00Z</dcterms:created>
  <dcterms:modified xsi:type="dcterms:W3CDTF">2014-08-14T11:56:00Z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y fmtid="{D5CDD505-2E9C-101B-9397-08002B2CF9AE}" pid="3" name="Spotlight Document">
    <vt:lpwstr>false</vt:lpwstr>
  </property>
</Properties>
</file>