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40"/>
          <w:szCs w:val="40"/>
          <w:u w:val="single"/>
        </w:rPr>
        <w:id w:val="345833075"/>
        <w:docPartObj>
          <w:docPartGallery w:val="Cover Pages"/>
          <w:docPartUnique/>
        </w:docPartObj>
      </w:sdtPr>
      <w:sdtEndPr/>
      <w:sdtContent>
        <w:p w:rsidR="005D37BE" w:rsidRDefault="005D37BE">
          <w:pPr>
            <w:rPr>
              <w:rFonts w:cs="Arial"/>
              <w:b/>
              <w:sz w:val="40"/>
              <w:szCs w:val="40"/>
              <w:u w:val="single"/>
            </w:rPr>
          </w:pPr>
          <w:r w:rsidRPr="005D37BE">
            <w:rPr>
              <w:rFonts w:cs="Arial"/>
              <w:b/>
              <w:noProof/>
              <w:sz w:val="40"/>
              <w:szCs w:val="40"/>
              <w:u w:val="single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0" allowOverlap="1" wp14:editId="2C392F7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493635"/>
                    <wp:effectExtent l="38100" t="0" r="40640" b="5016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7493635"/>
                              <a:chOff x="0" y="2598"/>
                              <a:chExt cx="12240" cy="11801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733" y="2598"/>
                                <a:ext cx="8638" cy="17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56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D37BE" w:rsidRPr="00244257" w:rsidRDefault="005D37BE" w:rsidP="00244257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365F91" w:themeColor="accent1" w:themeShade="BF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ED09A1">
                                        <w:rPr>
                                          <w:b/>
                                          <w:bCs/>
                                          <w:color w:val="365F91" w:themeColor="accent1" w:themeShade="BF"/>
                                          <w:sz w:val="72"/>
                                          <w:szCs w:val="56"/>
                                        </w:rPr>
                                        <w:t>Carlisle City Council</w:t>
                                      </w:r>
                                    </w:p>
                                  </w:sdtContent>
                                </w:sdt>
                                <w:p w:rsidR="005D37BE" w:rsidRDefault="005D37B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365F91" w:themeColor="accent1" w:themeShade="BF"/>
                                      <w:sz w:val="56"/>
                                      <w:szCs w:val="5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D37BE" w:rsidRPr="00244257" w:rsidRDefault="00244257">
                                      <w:pPr>
                                        <w:jc w:val="right"/>
                                        <w:rPr>
                                          <w:color w:val="365F91" w:themeColor="accent1" w:themeShade="BF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244257">
                                        <w:rPr>
                                          <w:color w:val="365F91" w:themeColor="accent1" w:themeShade="BF"/>
                                          <w:sz w:val="56"/>
                                          <w:szCs w:val="56"/>
                                          <w14:numForm w14:val="oldStyle"/>
                                        </w:rPr>
                                        <w:t>2014 / 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8" y="4260"/>
                                <a:ext cx="8638" cy="44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D09A1" w:rsidRDefault="005D37BE" w:rsidP="005D37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</w:pPr>
                                  <w:r w:rsidRPr="00244257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>Off-Street</w:t>
                                  </w:r>
                                  <w:r w:rsidR="00ED09A1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  <w:p w:rsidR="005D37BE" w:rsidRPr="00244257" w:rsidRDefault="00ED09A1" w:rsidP="005D37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>Annual Parking Report</w:t>
                                  </w:r>
                                  <w:r w:rsidR="005D37BE" w:rsidRPr="00244257">
                                    <w:rPr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365F91" w:themeColor="accent1" w:themeShade="BF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15866532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44257">
                                        <w:rPr>
                                          <w:b/>
                                          <w:bCs/>
                                          <w:color w:val="365F91" w:themeColor="accent1" w:themeShade="BF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5D37BE" w:rsidRDefault="005D37B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D37BE" w:rsidRDefault="005D37B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590.05pt;z-index:251673600;mso-width-percent:1000;mso-position-horizontal:center;mso-position-horizontal-relative:page;mso-position-vertical:center;mso-position-vertical-relative:margin;mso-width-percent:1000;mso-height-relative:margin" coordorigin=",2598" coordsize="12240,1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33;top:2598;width:8638;height:175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R68MA&#10;AADcAAAADwAAAGRycy9kb3ducmV2LnhtbESPQWvCQBSE70L/w/IK3nQTEWlSV2mFiEerQq/P7DMJ&#10;Zt/G3VXjv3eFQo/DzHzDzJe9acWNnG8sK0jHCQji0uqGKwWHfTH6AOEDssbWMil4kIfl4m0wx1zb&#10;O//QbRcqESHsc1RQh9DlUvqyJoN+bDvi6J2sMxiidJXUDu8Rblo5SZKZNNhwXKixo1VN5Xl3NQps&#10;wZPskn5fC6eD3R7Wx+zxe1Rq+N5/fYII1If/8F97oxVM0wx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R68MAAADc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56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D37BE" w:rsidRPr="00244257" w:rsidRDefault="005D37BE" w:rsidP="0024425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ED09A1"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72"/>
                                    <w:szCs w:val="56"/>
                                  </w:rPr>
                                  <w:t>Carlisle City Council</w:t>
                                </w:r>
                              </w:p>
                            </w:sdtContent>
                          </w:sdt>
                          <w:p w:rsidR="005D37BE" w:rsidRDefault="005D37B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color w:val="365F91" w:themeColor="accent1" w:themeShade="BF"/>
                                <w:sz w:val="56"/>
                                <w:szCs w:val="5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37BE" w:rsidRPr="00244257" w:rsidRDefault="00244257">
                                <w:pPr>
                                  <w:jc w:val="right"/>
                                  <w:rPr>
                                    <w:color w:val="365F91" w:themeColor="accent1" w:themeShade="BF"/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244257">
                                  <w:rPr>
                                    <w:color w:val="365F91" w:themeColor="accent1" w:themeShade="BF"/>
                                    <w:sz w:val="56"/>
                                    <w:szCs w:val="56"/>
                                    <w14:numForm w14:val="oldStyle"/>
                                  </w:rPr>
                                  <w:t>2014 / 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28;top:4260;width:8638;height:44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ED09A1" w:rsidRDefault="005D37BE" w:rsidP="005D37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244257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Off-Street</w:t>
                            </w:r>
                            <w:r w:rsidR="00ED09A1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37BE" w:rsidRPr="00244257" w:rsidRDefault="00ED09A1" w:rsidP="005D37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Annual Parking Report</w:t>
                            </w:r>
                            <w:r w:rsidR="005D37BE" w:rsidRPr="00244257">
                              <w:rPr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365F91" w:themeColor="accent1" w:themeShade="BF"/>
                                  <w:sz w:val="72"/>
                                  <w:szCs w:val="72"/>
                                </w:rPr>
                                <w:alias w:val="Title"/>
                                <w:id w:val="15866532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44257">
                                  <w:rPr>
                                    <w:b/>
                                    <w:bCs/>
                                    <w:color w:val="365F91" w:themeColor="accent1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D37BE" w:rsidRDefault="005D37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37BE" w:rsidRDefault="005D37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cs="Arial"/>
              <w:b/>
              <w:sz w:val="40"/>
              <w:szCs w:val="40"/>
              <w:u w:val="single"/>
            </w:rPr>
            <w:br w:type="page"/>
          </w:r>
        </w:p>
      </w:sdtContent>
    </w:sdt>
    <w:p w:rsidR="00C436E0" w:rsidRDefault="00C436E0" w:rsidP="007B0D9D">
      <w:pPr>
        <w:jc w:val="center"/>
        <w:rPr>
          <w:rFonts w:cs="Arial"/>
          <w:b/>
          <w:sz w:val="24"/>
          <w:szCs w:val="24"/>
          <w:u w:val="single"/>
        </w:rPr>
      </w:pPr>
    </w:p>
    <w:p w:rsidR="00A17B32" w:rsidRPr="00F84B8E" w:rsidRDefault="00F84B8E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Contents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F84B8E">
        <w:rPr>
          <w:rFonts w:cs="Arial"/>
          <w:b/>
          <w:sz w:val="24"/>
          <w:szCs w:val="24"/>
          <w:u w:val="single"/>
        </w:rPr>
        <w:t>Page</w:t>
      </w: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E644B7" w:rsidRDefault="005D37B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INTRODUCTION</w:t>
      </w:r>
      <w:r w:rsidR="001B38AE">
        <w:rPr>
          <w:rFonts w:cs="Arial"/>
          <w:b/>
          <w:sz w:val="24"/>
          <w:szCs w:val="24"/>
        </w:rPr>
        <w:tab/>
      </w:r>
      <w:r w:rsidR="00C436E0">
        <w:rPr>
          <w:rFonts w:cs="Arial"/>
          <w:b/>
          <w:sz w:val="24"/>
          <w:szCs w:val="24"/>
        </w:rPr>
        <w:tab/>
      </w:r>
      <w:r w:rsidR="00C436E0">
        <w:rPr>
          <w:rFonts w:cs="Arial"/>
          <w:b/>
          <w:sz w:val="24"/>
          <w:szCs w:val="24"/>
        </w:rPr>
        <w:tab/>
      </w:r>
      <w:r w:rsidR="00C436E0">
        <w:rPr>
          <w:rFonts w:cs="Arial"/>
          <w:b/>
          <w:sz w:val="24"/>
          <w:szCs w:val="24"/>
        </w:rPr>
        <w:tab/>
      </w:r>
      <w:r w:rsidR="00C436E0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190AB0">
        <w:rPr>
          <w:rFonts w:cs="Arial"/>
          <w:b/>
          <w:sz w:val="24"/>
          <w:szCs w:val="24"/>
        </w:rPr>
        <w:t xml:space="preserve">2 - </w:t>
      </w:r>
      <w:r>
        <w:rPr>
          <w:rFonts w:cs="Arial"/>
          <w:b/>
          <w:sz w:val="24"/>
          <w:szCs w:val="24"/>
        </w:rPr>
        <w:t>3</w:t>
      </w:r>
    </w:p>
    <w:p w:rsidR="005D37BE" w:rsidRDefault="005D37BE">
      <w:pPr>
        <w:rPr>
          <w:rFonts w:cs="Arial"/>
          <w:b/>
          <w:sz w:val="24"/>
          <w:szCs w:val="24"/>
        </w:rPr>
      </w:pPr>
    </w:p>
    <w:p w:rsidR="00A17B32" w:rsidRDefault="00C436E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PENALTY CHARGE NOTICES</w:t>
      </w:r>
      <w:r w:rsidR="00A17B32" w:rsidRPr="00A17B32">
        <w:rPr>
          <w:rFonts w:cs="Arial"/>
          <w:b/>
          <w:sz w:val="24"/>
          <w:szCs w:val="24"/>
        </w:rPr>
        <w:t xml:space="preserve"> ISSUED</w:t>
      </w:r>
      <w:r w:rsidR="00A17B32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17B32">
        <w:rPr>
          <w:rFonts w:cs="Arial"/>
          <w:b/>
          <w:sz w:val="24"/>
          <w:szCs w:val="24"/>
        </w:rPr>
        <w:tab/>
      </w:r>
      <w:r w:rsidR="00E644B7">
        <w:rPr>
          <w:rFonts w:cs="Arial"/>
          <w:b/>
          <w:sz w:val="24"/>
          <w:szCs w:val="24"/>
        </w:rPr>
        <w:tab/>
      </w:r>
      <w:r w:rsidR="00244257">
        <w:rPr>
          <w:rFonts w:cs="Arial"/>
          <w:b/>
          <w:sz w:val="24"/>
          <w:szCs w:val="24"/>
        </w:rPr>
        <w:t>4</w:t>
      </w:r>
    </w:p>
    <w:p w:rsidR="00E644B7" w:rsidRDefault="00E644B7">
      <w:pPr>
        <w:rPr>
          <w:rFonts w:cs="Arial"/>
          <w:b/>
          <w:sz w:val="24"/>
          <w:szCs w:val="24"/>
        </w:rPr>
      </w:pPr>
    </w:p>
    <w:p w:rsidR="00C436E0" w:rsidRDefault="00C436E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PENALTY CHARGE NOTICES PAID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644B7">
        <w:rPr>
          <w:rFonts w:cs="Arial"/>
          <w:b/>
          <w:sz w:val="24"/>
          <w:szCs w:val="24"/>
        </w:rPr>
        <w:tab/>
      </w:r>
      <w:r w:rsidR="00244257">
        <w:rPr>
          <w:rFonts w:cs="Arial"/>
          <w:b/>
          <w:sz w:val="24"/>
          <w:szCs w:val="24"/>
        </w:rPr>
        <w:t>5</w:t>
      </w:r>
    </w:p>
    <w:p w:rsidR="00E644B7" w:rsidRDefault="00E644B7">
      <w:pPr>
        <w:rPr>
          <w:rFonts w:cs="Arial"/>
          <w:b/>
          <w:sz w:val="24"/>
          <w:szCs w:val="24"/>
        </w:rPr>
      </w:pPr>
    </w:p>
    <w:p w:rsidR="00A17B32" w:rsidRPr="00A17B32" w:rsidRDefault="00CC7FA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FORMAL / INFORMAL REPRESENTATIONS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644B7">
        <w:rPr>
          <w:rFonts w:cs="Arial"/>
          <w:b/>
          <w:sz w:val="24"/>
          <w:szCs w:val="24"/>
        </w:rPr>
        <w:tab/>
      </w:r>
      <w:r w:rsidR="00244257">
        <w:rPr>
          <w:rFonts w:cs="Arial"/>
          <w:b/>
          <w:sz w:val="24"/>
          <w:szCs w:val="24"/>
        </w:rPr>
        <w:t>6</w:t>
      </w:r>
    </w:p>
    <w:p w:rsidR="00E644B7" w:rsidRDefault="00E644B7">
      <w:pPr>
        <w:rPr>
          <w:rFonts w:cs="Arial"/>
          <w:b/>
          <w:sz w:val="24"/>
          <w:szCs w:val="24"/>
        </w:rPr>
      </w:pPr>
    </w:p>
    <w:p w:rsidR="00A17B32" w:rsidRDefault="00E644B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PCN CANCELLATIONS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44257">
        <w:rPr>
          <w:rFonts w:cs="Arial"/>
          <w:b/>
          <w:sz w:val="24"/>
          <w:szCs w:val="24"/>
        </w:rPr>
        <w:t>7</w:t>
      </w:r>
    </w:p>
    <w:p w:rsidR="00E644B7" w:rsidRDefault="00E644B7">
      <w:pPr>
        <w:rPr>
          <w:rFonts w:cs="Arial"/>
          <w:b/>
          <w:sz w:val="24"/>
          <w:szCs w:val="24"/>
        </w:rPr>
      </w:pPr>
    </w:p>
    <w:p w:rsidR="00E644B7" w:rsidRPr="00E644B7" w:rsidRDefault="00E644B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APPEALS TO INDEPENDENT ADJUDICATOR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44257">
        <w:rPr>
          <w:rFonts w:cs="Arial"/>
          <w:b/>
          <w:sz w:val="24"/>
          <w:szCs w:val="24"/>
        </w:rPr>
        <w:t>8</w:t>
      </w:r>
    </w:p>
    <w:p w:rsidR="00E644B7" w:rsidRDefault="00E644B7">
      <w:pPr>
        <w:rPr>
          <w:rFonts w:cs="Arial"/>
          <w:b/>
          <w:sz w:val="24"/>
          <w:szCs w:val="24"/>
        </w:rPr>
      </w:pPr>
    </w:p>
    <w:p w:rsidR="00E644B7" w:rsidRPr="007B34A8" w:rsidRDefault="00E644B7" w:rsidP="007B34A8">
      <w:pPr>
        <w:pStyle w:val="NoSpacing"/>
        <w:rPr>
          <w:b/>
          <w:sz w:val="24"/>
          <w:szCs w:val="24"/>
        </w:rPr>
      </w:pPr>
      <w:r w:rsidRPr="007B34A8">
        <w:rPr>
          <w:b/>
          <w:sz w:val="24"/>
          <w:szCs w:val="24"/>
        </w:rPr>
        <w:t>PCNs NOT CHALLENGED BY CARLISLE</w:t>
      </w:r>
      <w:r w:rsidRPr="007B34A8">
        <w:rPr>
          <w:b/>
          <w:sz w:val="24"/>
          <w:szCs w:val="24"/>
        </w:rPr>
        <w:tab/>
      </w:r>
      <w:r w:rsidRPr="007B34A8">
        <w:rPr>
          <w:b/>
          <w:sz w:val="24"/>
          <w:szCs w:val="24"/>
        </w:rPr>
        <w:tab/>
      </w:r>
      <w:r w:rsidRPr="007B34A8">
        <w:rPr>
          <w:b/>
          <w:sz w:val="24"/>
          <w:szCs w:val="24"/>
        </w:rPr>
        <w:tab/>
      </w:r>
      <w:r w:rsidR="00190AB0">
        <w:rPr>
          <w:b/>
          <w:sz w:val="24"/>
          <w:szCs w:val="24"/>
        </w:rPr>
        <w:t>9</w:t>
      </w:r>
    </w:p>
    <w:p w:rsidR="00A17B32" w:rsidRPr="007B34A8" w:rsidRDefault="00E644B7" w:rsidP="007B34A8">
      <w:pPr>
        <w:pStyle w:val="NoSpacing"/>
        <w:rPr>
          <w:b/>
          <w:sz w:val="24"/>
          <w:szCs w:val="24"/>
        </w:rPr>
      </w:pPr>
      <w:r w:rsidRPr="007B34A8">
        <w:rPr>
          <w:b/>
          <w:sz w:val="24"/>
          <w:szCs w:val="24"/>
        </w:rPr>
        <w:t>CITY COUNCIL AT ADJUDICATION</w:t>
      </w: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Pr="00190AB0" w:rsidRDefault="00190A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REPORT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10</w:t>
      </w: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1B38AE" w:rsidRDefault="001B38AE">
      <w:pPr>
        <w:rPr>
          <w:rFonts w:cs="Arial"/>
          <w:b/>
          <w:sz w:val="24"/>
          <w:szCs w:val="24"/>
          <w:u w:val="single"/>
        </w:rPr>
      </w:pPr>
    </w:p>
    <w:p w:rsidR="005D37BE" w:rsidRDefault="005D37BE">
      <w:pPr>
        <w:rPr>
          <w:rFonts w:cs="Arial"/>
          <w:b/>
          <w:sz w:val="24"/>
          <w:szCs w:val="24"/>
          <w:u w:val="single"/>
        </w:rPr>
      </w:pPr>
    </w:p>
    <w:p w:rsidR="005D37BE" w:rsidRDefault="005D37BE">
      <w:pPr>
        <w:rPr>
          <w:rFonts w:cs="Arial"/>
          <w:b/>
          <w:sz w:val="24"/>
          <w:szCs w:val="24"/>
          <w:u w:val="single"/>
        </w:rPr>
      </w:pPr>
    </w:p>
    <w:p w:rsidR="009034BB" w:rsidRPr="00244257" w:rsidRDefault="005D37BE" w:rsidP="00244257">
      <w:pPr>
        <w:jc w:val="center"/>
        <w:rPr>
          <w:rFonts w:cs="Arial"/>
          <w:b/>
          <w:sz w:val="44"/>
          <w:szCs w:val="44"/>
          <w:u w:val="single"/>
        </w:rPr>
      </w:pPr>
      <w:r w:rsidRPr="00244257">
        <w:rPr>
          <w:rFonts w:cs="Arial"/>
          <w:b/>
          <w:sz w:val="44"/>
          <w:szCs w:val="44"/>
          <w:u w:val="single"/>
        </w:rPr>
        <w:t>INTRODUCTION</w:t>
      </w:r>
    </w:p>
    <w:p w:rsidR="005D37BE" w:rsidRDefault="005D37BE">
      <w:pPr>
        <w:rPr>
          <w:rFonts w:cs="Arial"/>
          <w:b/>
          <w:sz w:val="24"/>
          <w:szCs w:val="24"/>
          <w:u w:val="single"/>
        </w:rPr>
      </w:pPr>
    </w:p>
    <w:p w:rsidR="007C604E" w:rsidRPr="009034BB" w:rsidRDefault="007C604E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On-Street &amp; Off Street</w:t>
      </w:r>
    </w:p>
    <w:p w:rsidR="00E4023C" w:rsidRDefault="00ED09A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620AD0">
        <w:rPr>
          <w:rFonts w:cs="Arial"/>
          <w:b/>
          <w:sz w:val="24"/>
          <w:szCs w:val="24"/>
        </w:rPr>
        <w:t>ll On-Street</w:t>
      </w:r>
      <w:r>
        <w:rPr>
          <w:rFonts w:cs="Arial"/>
          <w:b/>
          <w:sz w:val="24"/>
          <w:szCs w:val="24"/>
        </w:rPr>
        <w:t xml:space="preserve"> &amp; Off-Street</w:t>
      </w:r>
      <w:r w:rsidR="00620AD0">
        <w:rPr>
          <w:rFonts w:cs="Arial"/>
          <w:b/>
          <w:sz w:val="24"/>
          <w:szCs w:val="24"/>
        </w:rPr>
        <w:t xml:space="preserve"> Parking related operations were carried out by Carlisle City Council on behalf of Cumbria County Council until the 31</w:t>
      </w:r>
      <w:r w:rsidR="00620AD0" w:rsidRPr="00620AD0">
        <w:rPr>
          <w:rFonts w:cs="Arial"/>
          <w:b/>
          <w:sz w:val="24"/>
          <w:szCs w:val="24"/>
          <w:vertAlign w:val="superscript"/>
        </w:rPr>
        <w:t>st</w:t>
      </w:r>
      <w:r w:rsidR="00620AD0">
        <w:rPr>
          <w:rFonts w:cs="Arial"/>
          <w:b/>
          <w:sz w:val="24"/>
          <w:szCs w:val="24"/>
        </w:rPr>
        <w:t xml:space="preserve"> January 2015.</w:t>
      </w:r>
      <w:r>
        <w:rPr>
          <w:rFonts w:cs="Arial"/>
          <w:b/>
          <w:sz w:val="24"/>
          <w:szCs w:val="24"/>
        </w:rPr>
        <w:t xml:space="preserve"> </w:t>
      </w:r>
      <w:r w:rsidR="00620AD0">
        <w:rPr>
          <w:rFonts w:cs="Arial"/>
          <w:b/>
          <w:sz w:val="24"/>
          <w:szCs w:val="24"/>
        </w:rPr>
        <w:t>The On-Street operation transferred</w:t>
      </w:r>
      <w:r w:rsidR="00E4023C">
        <w:rPr>
          <w:rFonts w:cs="Arial"/>
          <w:b/>
          <w:sz w:val="24"/>
          <w:szCs w:val="24"/>
        </w:rPr>
        <w:t xml:space="preserve"> to Cumbria County Council</w:t>
      </w:r>
      <w:r w:rsidR="00620AD0">
        <w:rPr>
          <w:rFonts w:cs="Arial"/>
          <w:b/>
          <w:sz w:val="24"/>
          <w:szCs w:val="24"/>
        </w:rPr>
        <w:t xml:space="preserve"> on the 1</w:t>
      </w:r>
      <w:r w:rsidR="00620AD0" w:rsidRPr="00620AD0">
        <w:rPr>
          <w:rFonts w:cs="Arial"/>
          <w:b/>
          <w:sz w:val="24"/>
          <w:szCs w:val="24"/>
          <w:vertAlign w:val="superscript"/>
        </w:rPr>
        <w:t>st</w:t>
      </w:r>
      <w:r w:rsidR="00620AD0">
        <w:rPr>
          <w:rFonts w:cs="Arial"/>
          <w:b/>
          <w:sz w:val="24"/>
          <w:szCs w:val="24"/>
        </w:rPr>
        <w:t xml:space="preserve"> February 2015. </w:t>
      </w:r>
    </w:p>
    <w:p w:rsidR="00E4023C" w:rsidRDefault="00620AD0">
      <w:pPr>
        <w:rPr>
          <w:rFonts w:cs="Arial"/>
          <w:b/>
          <w:sz w:val="24"/>
          <w:szCs w:val="24"/>
        </w:rPr>
      </w:pPr>
      <w:r w:rsidRPr="00620AD0">
        <w:rPr>
          <w:rFonts w:cs="Arial"/>
          <w:b/>
          <w:sz w:val="24"/>
          <w:szCs w:val="24"/>
        </w:rPr>
        <w:t xml:space="preserve">This report contains information related to Off-Street Parking ONLY. All On-Street parking information will be included in the Cumbria County Council Annual Parking Report.  </w:t>
      </w:r>
    </w:p>
    <w:p w:rsidR="007C604E" w:rsidRDefault="007C604E">
      <w:pPr>
        <w:rPr>
          <w:rFonts w:cs="Arial"/>
          <w:b/>
          <w:sz w:val="24"/>
          <w:szCs w:val="24"/>
          <w:u w:val="single"/>
        </w:rPr>
      </w:pPr>
    </w:p>
    <w:p w:rsidR="00E4023C" w:rsidRPr="007C604E" w:rsidRDefault="007C604E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</w:t>
      </w:r>
      <w:r w:rsidRPr="007C604E">
        <w:rPr>
          <w:rFonts w:cs="Arial"/>
          <w:b/>
          <w:sz w:val="24"/>
          <w:szCs w:val="24"/>
          <w:u w:val="single"/>
        </w:rPr>
        <w:t>hat we do</w:t>
      </w:r>
    </w:p>
    <w:p w:rsidR="007A2D80" w:rsidRDefault="00ED79E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Carlisle City Council Parking S</w:t>
      </w:r>
      <w:r w:rsidR="007A2D80">
        <w:rPr>
          <w:rFonts w:cs="Arial"/>
          <w:b/>
          <w:sz w:val="24"/>
          <w:szCs w:val="24"/>
        </w:rPr>
        <w:t>ervices is responsible for the operation</w:t>
      </w:r>
      <w:r w:rsidR="00B121D4">
        <w:rPr>
          <w:rFonts w:cs="Arial"/>
          <w:b/>
          <w:sz w:val="24"/>
          <w:szCs w:val="24"/>
        </w:rPr>
        <w:t>,</w:t>
      </w:r>
      <w:r w:rsidR="007A2D80">
        <w:rPr>
          <w:rFonts w:cs="Arial"/>
          <w:b/>
          <w:sz w:val="24"/>
          <w:szCs w:val="24"/>
        </w:rPr>
        <w:t xml:space="preserve"> maintenance</w:t>
      </w:r>
      <w:r w:rsidR="00B121D4">
        <w:rPr>
          <w:rFonts w:cs="Arial"/>
          <w:b/>
          <w:sz w:val="24"/>
          <w:szCs w:val="24"/>
        </w:rPr>
        <w:t xml:space="preserve"> and enforcement</w:t>
      </w:r>
      <w:r w:rsidR="007A2D80">
        <w:rPr>
          <w:rFonts w:cs="Arial"/>
          <w:b/>
          <w:sz w:val="24"/>
          <w:szCs w:val="24"/>
        </w:rPr>
        <w:t xml:space="preserve"> of the following:</w:t>
      </w:r>
    </w:p>
    <w:p w:rsidR="00FF5B22" w:rsidRDefault="00FF5B22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</w:t>
      </w:r>
      <w:r w:rsidR="007A2D80" w:rsidRPr="00FF5B22">
        <w:rPr>
          <w:rFonts w:cs="Arial"/>
          <w:b/>
          <w:sz w:val="24"/>
          <w:szCs w:val="24"/>
        </w:rPr>
        <w:t xml:space="preserve"> Pay &amp; Display Car</w:t>
      </w:r>
      <w:r>
        <w:rPr>
          <w:rFonts w:cs="Arial"/>
          <w:b/>
          <w:sz w:val="24"/>
          <w:szCs w:val="24"/>
        </w:rPr>
        <w:t xml:space="preserve"> P</w:t>
      </w:r>
      <w:r w:rsidR="007A2D80" w:rsidRPr="00FF5B22">
        <w:rPr>
          <w:rFonts w:cs="Arial"/>
          <w:b/>
          <w:sz w:val="24"/>
          <w:szCs w:val="24"/>
        </w:rPr>
        <w:t xml:space="preserve">arks </w:t>
      </w:r>
      <w:r>
        <w:rPr>
          <w:rFonts w:cs="Arial"/>
          <w:b/>
          <w:sz w:val="24"/>
          <w:szCs w:val="24"/>
        </w:rPr>
        <w:t xml:space="preserve"> </w:t>
      </w:r>
      <w:r w:rsidR="007A2D80" w:rsidRPr="00FF5B22">
        <w:rPr>
          <w:rFonts w:cs="Arial"/>
          <w:b/>
          <w:sz w:val="24"/>
          <w:szCs w:val="24"/>
        </w:rPr>
        <w:t>(Civic Centre, Town Dy</w:t>
      </w:r>
      <w:r w:rsidR="00B121D4" w:rsidRPr="00FF5B22">
        <w:rPr>
          <w:rFonts w:cs="Arial"/>
          <w:b/>
          <w:sz w:val="24"/>
          <w:szCs w:val="24"/>
        </w:rPr>
        <w:t>ke Orchard, Bitts Park, Lowther Street, Paddy’s Market</w:t>
      </w:r>
      <w:r w:rsidR="00D23FB3" w:rsidRPr="00FF5B22">
        <w:rPr>
          <w:rFonts w:cs="Arial"/>
          <w:b/>
          <w:sz w:val="24"/>
          <w:szCs w:val="24"/>
        </w:rPr>
        <w:t xml:space="preserve">, The Sands, Upper Viaduct, </w:t>
      </w:r>
      <w:r w:rsidRPr="00FF5B22">
        <w:rPr>
          <w:rFonts w:cs="Arial"/>
          <w:b/>
          <w:sz w:val="24"/>
          <w:szCs w:val="24"/>
        </w:rPr>
        <w:t>Swift’s</w:t>
      </w:r>
      <w:r w:rsidR="00D23FB3" w:rsidRPr="00FF5B22">
        <w:rPr>
          <w:rFonts w:cs="Arial"/>
          <w:b/>
          <w:sz w:val="24"/>
          <w:szCs w:val="24"/>
        </w:rPr>
        <w:t xml:space="preserve"> Bank, Cecil</w:t>
      </w:r>
      <w:r>
        <w:rPr>
          <w:rFonts w:cs="Arial"/>
          <w:b/>
          <w:sz w:val="24"/>
          <w:szCs w:val="24"/>
        </w:rPr>
        <w:t xml:space="preserve"> Street, Devonshire Walk, Lower Viaduct, Marks &amp; Spencer and Talkin Tar</w:t>
      </w:r>
      <w:r w:rsidR="00CB5B7A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)</w:t>
      </w:r>
    </w:p>
    <w:p w:rsidR="00FF5B22" w:rsidRDefault="00CB5B7A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FF5B22">
        <w:rPr>
          <w:rFonts w:cs="Arial"/>
          <w:b/>
          <w:sz w:val="24"/>
          <w:szCs w:val="24"/>
        </w:rPr>
        <w:t xml:space="preserve"> Disc controlled Car Parks (Church Street Stanwix, Brampton Central, Back Corporation Road and Gilsland</w:t>
      </w:r>
      <w:r>
        <w:rPr>
          <w:rFonts w:cs="Arial"/>
          <w:b/>
          <w:sz w:val="24"/>
          <w:szCs w:val="24"/>
        </w:rPr>
        <w:t>)</w:t>
      </w:r>
    </w:p>
    <w:p w:rsidR="00CB5B7A" w:rsidRDefault="00640BD1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CB5B7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Permit Holder Only Car Parks (Barrock Street, Dixon Court, Sheffield Street, Lewis Court, Randall Street, South Henry Street, Norfolk Court, Cumberland Court, Isabella Street)</w:t>
      </w:r>
    </w:p>
    <w:p w:rsidR="00640BD1" w:rsidRDefault="00640BD1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 Free Car Parks (Lamplugh Street, Wigton Road, Sheepmount, Rosehill, Enterprise Centre &amp; Brampton Union Lane)</w:t>
      </w:r>
    </w:p>
    <w:p w:rsidR="00640BD1" w:rsidRDefault="00553662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2565CF">
        <w:rPr>
          <w:rFonts w:cs="Arial"/>
          <w:b/>
          <w:sz w:val="24"/>
          <w:szCs w:val="24"/>
        </w:rPr>
        <w:t xml:space="preserve"> Loading areas (Civic Centre Loading Bay</w:t>
      </w:r>
      <w:r>
        <w:rPr>
          <w:rFonts w:cs="Arial"/>
          <w:b/>
          <w:sz w:val="24"/>
          <w:szCs w:val="24"/>
        </w:rPr>
        <w:t xml:space="preserve"> and</w:t>
      </w:r>
      <w:r w:rsidR="002565CF">
        <w:rPr>
          <w:rFonts w:cs="Arial"/>
          <w:b/>
          <w:sz w:val="24"/>
          <w:szCs w:val="24"/>
        </w:rPr>
        <w:t xml:space="preserve"> Civic Centre Tradesman Parking</w:t>
      </w:r>
      <w:r w:rsidR="009034BB">
        <w:rPr>
          <w:rFonts w:cs="Arial"/>
          <w:b/>
          <w:sz w:val="24"/>
          <w:szCs w:val="24"/>
        </w:rPr>
        <w:t>)</w:t>
      </w:r>
    </w:p>
    <w:p w:rsidR="009034BB" w:rsidRDefault="00553662" w:rsidP="00FF5B22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9034BB">
        <w:rPr>
          <w:rFonts w:cs="Arial"/>
          <w:b/>
          <w:sz w:val="24"/>
          <w:szCs w:val="24"/>
        </w:rPr>
        <w:t xml:space="preserve"> Public Service Vehicle area (Gilsland Layby</w:t>
      </w:r>
      <w:r w:rsidR="005E4E08">
        <w:rPr>
          <w:rFonts w:cs="Arial"/>
          <w:b/>
          <w:sz w:val="24"/>
          <w:szCs w:val="24"/>
        </w:rPr>
        <w:t>)</w:t>
      </w:r>
    </w:p>
    <w:p w:rsidR="009034BB" w:rsidRPr="009034BB" w:rsidRDefault="009034BB" w:rsidP="009034BB">
      <w:pPr>
        <w:rPr>
          <w:rFonts w:cs="Arial"/>
          <w:b/>
          <w:sz w:val="24"/>
          <w:szCs w:val="24"/>
        </w:rPr>
      </w:pPr>
    </w:p>
    <w:p w:rsidR="007C604E" w:rsidRDefault="007C604E" w:rsidP="009034BB">
      <w:pPr>
        <w:rPr>
          <w:rFonts w:cs="Arial"/>
          <w:b/>
          <w:sz w:val="24"/>
          <w:szCs w:val="24"/>
        </w:rPr>
      </w:pPr>
    </w:p>
    <w:p w:rsidR="007C604E" w:rsidRDefault="007C604E" w:rsidP="009034BB">
      <w:pPr>
        <w:rPr>
          <w:rFonts w:cs="Arial"/>
          <w:b/>
          <w:sz w:val="24"/>
          <w:szCs w:val="24"/>
        </w:rPr>
      </w:pPr>
    </w:p>
    <w:p w:rsidR="007C604E" w:rsidRDefault="007C604E" w:rsidP="009034BB">
      <w:pPr>
        <w:rPr>
          <w:rFonts w:cs="Arial"/>
          <w:b/>
          <w:sz w:val="24"/>
          <w:szCs w:val="24"/>
        </w:rPr>
      </w:pPr>
    </w:p>
    <w:p w:rsidR="007C604E" w:rsidRPr="007C604E" w:rsidRDefault="007C604E" w:rsidP="009034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Our Aim</w:t>
      </w:r>
    </w:p>
    <w:p w:rsidR="009C3BAB" w:rsidRDefault="002877A4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Carlisle City Council Parking Services aims to increase </w:t>
      </w:r>
      <w:r w:rsidR="00A71A34">
        <w:rPr>
          <w:rFonts w:cs="Arial"/>
          <w:b/>
          <w:sz w:val="24"/>
          <w:szCs w:val="24"/>
        </w:rPr>
        <w:t>parking compliance and</w:t>
      </w:r>
      <w:r w:rsidR="009C3BAB">
        <w:rPr>
          <w:rFonts w:cs="Arial"/>
          <w:b/>
          <w:sz w:val="24"/>
          <w:szCs w:val="24"/>
        </w:rPr>
        <w:t xml:space="preserve"> deliver transparent, fair and consistent parking enforcement. </w:t>
      </w:r>
    </w:p>
    <w:p w:rsidR="007C604E" w:rsidRDefault="007C604E" w:rsidP="009034BB">
      <w:pPr>
        <w:rPr>
          <w:rFonts w:cs="Arial"/>
          <w:b/>
          <w:sz w:val="24"/>
          <w:szCs w:val="24"/>
          <w:u w:val="single"/>
        </w:rPr>
      </w:pPr>
    </w:p>
    <w:p w:rsidR="0034694F" w:rsidRPr="007C604E" w:rsidRDefault="007C604E" w:rsidP="009034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Information R</w:t>
      </w:r>
      <w:r w:rsidRPr="007C604E">
        <w:rPr>
          <w:rFonts w:cs="Arial"/>
          <w:b/>
          <w:sz w:val="24"/>
          <w:szCs w:val="24"/>
          <w:u w:val="single"/>
        </w:rPr>
        <w:t xml:space="preserve">elated to our </w:t>
      </w:r>
      <w:r>
        <w:rPr>
          <w:rFonts w:cs="Arial"/>
          <w:b/>
          <w:sz w:val="24"/>
          <w:szCs w:val="24"/>
          <w:u w:val="single"/>
        </w:rPr>
        <w:t>Enforcement O</w:t>
      </w:r>
      <w:r w:rsidRPr="007C604E">
        <w:rPr>
          <w:rFonts w:cs="Arial"/>
          <w:b/>
          <w:sz w:val="24"/>
          <w:szCs w:val="24"/>
          <w:u w:val="single"/>
        </w:rPr>
        <w:t>peration</w:t>
      </w:r>
    </w:p>
    <w:p w:rsidR="0034694F" w:rsidRDefault="00E4023C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Carlisle City Council</w:t>
      </w:r>
      <w:r w:rsidR="009C3BAB">
        <w:rPr>
          <w:rFonts w:cs="Arial"/>
          <w:b/>
          <w:sz w:val="24"/>
          <w:szCs w:val="24"/>
        </w:rPr>
        <w:t xml:space="preserve"> employed eight Civil Enforcement Officers and one Parking Supervisor </w:t>
      </w:r>
      <w:r>
        <w:rPr>
          <w:rFonts w:cs="Arial"/>
          <w:b/>
          <w:sz w:val="24"/>
          <w:szCs w:val="24"/>
        </w:rPr>
        <w:t>between</w:t>
      </w:r>
      <w:r w:rsidR="009C3BAB">
        <w:rPr>
          <w:rFonts w:cs="Arial"/>
          <w:b/>
          <w:sz w:val="24"/>
          <w:szCs w:val="24"/>
        </w:rPr>
        <w:t xml:space="preserve"> 1</w:t>
      </w:r>
      <w:r w:rsidR="009C3BAB" w:rsidRPr="009C3BAB">
        <w:rPr>
          <w:rFonts w:cs="Arial"/>
          <w:b/>
          <w:sz w:val="24"/>
          <w:szCs w:val="24"/>
          <w:vertAlign w:val="superscript"/>
        </w:rPr>
        <w:t>st</w:t>
      </w:r>
      <w:r w:rsidR="009C3BA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April 2014 and</w:t>
      </w:r>
      <w:r w:rsidR="009C3BAB">
        <w:rPr>
          <w:rFonts w:cs="Arial"/>
          <w:b/>
          <w:sz w:val="24"/>
          <w:szCs w:val="24"/>
        </w:rPr>
        <w:t xml:space="preserve"> 31</w:t>
      </w:r>
      <w:r w:rsidR="009C3BAB" w:rsidRPr="009C3BAB">
        <w:rPr>
          <w:rFonts w:cs="Arial"/>
          <w:b/>
          <w:sz w:val="24"/>
          <w:szCs w:val="24"/>
          <w:vertAlign w:val="superscript"/>
        </w:rPr>
        <w:t>st</w:t>
      </w:r>
      <w:r w:rsidR="009C3BAB">
        <w:rPr>
          <w:rFonts w:cs="Arial"/>
          <w:b/>
          <w:sz w:val="24"/>
          <w:szCs w:val="24"/>
        </w:rPr>
        <w:t xml:space="preserve"> January 2015</w:t>
      </w:r>
      <w:r w:rsidR="0034694F">
        <w:rPr>
          <w:rFonts w:cs="Arial"/>
          <w:b/>
          <w:sz w:val="24"/>
          <w:szCs w:val="24"/>
        </w:rPr>
        <w:t xml:space="preserve"> to provide </w:t>
      </w:r>
      <w:r w:rsidR="00857789">
        <w:rPr>
          <w:rFonts w:cs="Arial"/>
          <w:b/>
          <w:sz w:val="24"/>
          <w:szCs w:val="24"/>
        </w:rPr>
        <w:t xml:space="preserve">parking enforcement for both </w:t>
      </w:r>
      <w:r w:rsidR="0034694F">
        <w:rPr>
          <w:rFonts w:cs="Arial"/>
          <w:b/>
          <w:sz w:val="24"/>
          <w:szCs w:val="24"/>
        </w:rPr>
        <w:t>On-Street and Off-Street</w:t>
      </w:r>
      <w:r w:rsidR="009C3BAB">
        <w:rPr>
          <w:rFonts w:cs="Arial"/>
          <w:b/>
          <w:sz w:val="24"/>
          <w:szCs w:val="24"/>
        </w:rPr>
        <w:t xml:space="preserve">. </w:t>
      </w:r>
      <w:r w:rsidR="007C604E">
        <w:rPr>
          <w:rFonts w:cs="Arial"/>
          <w:b/>
          <w:sz w:val="24"/>
          <w:szCs w:val="24"/>
        </w:rPr>
        <w:t xml:space="preserve"> </w:t>
      </w:r>
      <w:r w:rsidR="0034694F">
        <w:rPr>
          <w:rFonts w:cs="Arial"/>
          <w:b/>
          <w:sz w:val="24"/>
          <w:szCs w:val="24"/>
        </w:rPr>
        <w:t xml:space="preserve">When the </w:t>
      </w:r>
      <w:r w:rsidR="00857789">
        <w:rPr>
          <w:rFonts w:cs="Arial"/>
          <w:b/>
          <w:sz w:val="24"/>
          <w:szCs w:val="24"/>
        </w:rPr>
        <w:t>agreement with the</w:t>
      </w:r>
      <w:r w:rsidR="00A71A34">
        <w:rPr>
          <w:rFonts w:cs="Arial"/>
          <w:b/>
          <w:sz w:val="24"/>
          <w:szCs w:val="24"/>
        </w:rPr>
        <w:t xml:space="preserve"> c</w:t>
      </w:r>
      <w:r w:rsidR="00857789">
        <w:rPr>
          <w:rFonts w:cs="Arial"/>
          <w:b/>
          <w:sz w:val="24"/>
          <w:szCs w:val="24"/>
        </w:rPr>
        <w:t xml:space="preserve">lient </w:t>
      </w:r>
      <w:r w:rsidR="00A71A34">
        <w:rPr>
          <w:rFonts w:cs="Arial"/>
          <w:b/>
          <w:sz w:val="24"/>
          <w:szCs w:val="24"/>
        </w:rPr>
        <w:t>‘</w:t>
      </w:r>
      <w:r w:rsidR="00857789">
        <w:rPr>
          <w:rFonts w:cs="Arial"/>
          <w:b/>
          <w:sz w:val="24"/>
          <w:szCs w:val="24"/>
        </w:rPr>
        <w:t>Cumbria County Council</w:t>
      </w:r>
      <w:r w:rsidR="00A71A34">
        <w:rPr>
          <w:rFonts w:cs="Arial"/>
          <w:b/>
          <w:sz w:val="24"/>
          <w:szCs w:val="24"/>
        </w:rPr>
        <w:t>’</w:t>
      </w:r>
      <w:r w:rsidR="00857789">
        <w:rPr>
          <w:rFonts w:cs="Arial"/>
          <w:b/>
          <w:sz w:val="24"/>
          <w:szCs w:val="24"/>
        </w:rPr>
        <w:t xml:space="preserve"> was terminated</w:t>
      </w:r>
      <w:r w:rsidR="00A71A34">
        <w:rPr>
          <w:rFonts w:cs="Arial"/>
          <w:b/>
          <w:sz w:val="24"/>
          <w:szCs w:val="24"/>
        </w:rPr>
        <w:t>,</w:t>
      </w:r>
      <w:r w:rsidR="00857789">
        <w:rPr>
          <w:rFonts w:cs="Arial"/>
          <w:b/>
          <w:sz w:val="24"/>
          <w:szCs w:val="24"/>
        </w:rPr>
        <w:t xml:space="preserve"> </w:t>
      </w:r>
      <w:r w:rsidR="00A71A34">
        <w:rPr>
          <w:rFonts w:cs="Arial"/>
          <w:b/>
          <w:sz w:val="24"/>
          <w:szCs w:val="24"/>
        </w:rPr>
        <w:t xml:space="preserve">the </w:t>
      </w:r>
      <w:r w:rsidR="0034694F">
        <w:rPr>
          <w:rFonts w:cs="Arial"/>
          <w:b/>
          <w:sz w:val="24"/>
          <w:szCs w:val="24"/>
        </w:rPr>
        <w:t xml:space="preserve">On-Street operation </w:t>
      </w:r>
      <w:r w:rsidR="00857789">
        <w:rPr>
          <w:rFonts w:cs="Arial"/>
          <w:b/>
          <w:sz w:val="24"/>
          <w:szCs w:val="24"/>
        </w:rPr>
        <w:t xml:space="preserve">was </w:t>
      </w:r>
      <w:r w:rsidR="0034694F">
        <w:rPr>
          <w:rFonts w:cs="Arial"/>
          <w:b/>
          <w:sz w:val="24"/>
          <w:szCs w:val="24"/>
        </w:rPr>
        <w:t xml:space="preserve">transferred </w:t>
      </w:r>
      <w:r w:rsidR="00857789">
        <w:rPr>
          <w:rFonts w:cs="Arial"/>
          <w:b/>
          <w:sz w:val="24"/>
          <w:szCs w:val="24"/>
        </w:rPr>
        <w:t xml:space="preserve">back to </w:t>
      </w:r>
      <w:r w:rsidR="00857789" w:rsidRPr="00857789">
        <w:rPr>
          <w:rFonts w:cs="Arial"/>
          <w:b/>
          <w:sz w:val="24"/>
          <w:szCs w:val="24"/>
        </w:rPr>
        <w:t xml:space="preserve">the </w:t>
      </w:r>
      <w:r w:rsidR="00857789">
        <w:rPr>
          <w:rFonts w:cs="Arial"/>
          <w:b/>
          <w:sz w:val="24"/>
          <w:szCs w:val="24"/>
        </w:rPr>
        <w:t>client</w:t>
      </w:r>
      <w:r w:rsidR="00857789" w:rsidRPr="00857789">
        <w:rPr>
          <w:rFonts w:cs="Arial"/>
          <w:b/>
          <w:sz w:val="24"/>
          <w:szCs w:val="24"/>
        </w:rPr>
        <w:t xml:space="preserve"> and all Civil Enforcement Officers </w:t>
      </w:r>
      <w:r w:rsidR="0034694F">
        <w:rPr>
          <w:rFonts w:cs="Arial"/>
          <w:b/>
          <w:sz w:val="24"/>
          <w:szCs w:val="24"/>
        </w:rPr>
        <w:t>TUPE transferred</w:t>
      </w:r>
      <w:r w:rsidR="007C604E">
        <w:rPr>
          <w:rFonts w:cs="Arial"/>
          <w:b/>
          <w:sz w:val="24"/>
          <w:szCs w:val="24"/>
        </w:rPr>
        <w:t xml:space="preserve"> to Cumbria County Council</w:t>
      </w:r>
      <w:r w:rsidR="00857789">
        <w:rPr>
          <w:rFonts w:cs="Arial"/>
          <w:b/>
          <w:sz w:val="24"/>
          <w:szCs w:val="24"/>
        </w:rPr>
        <w:t xml:space="preserve"> on the 1</w:t>
      </w:r>
      <w:r w:rsidR="00857789" w:rsidRPr="009C3BAB">
        <w:rPr>
          <w:rFonts w:cs="Arial"/>
          <w:b/>
          <w:sz w:val="24"/>
          <w:szCs w:val="24"/>
          <w:vertAlign w:val="superscript"/>
        </w:rPr>
        <w:t>st</w:t>
      </w:r>
      <w:r w:rsidR="00857789">
        <w:rPr>
          <w:rFonts w:cs="Arial"/>
          <w:b/>
          <w:sz w:val="24"/>
          <w:szCs w:val="24"/>
        </w:rPr>
        <w:t xml:space="preserve"> February 2015</w:t>
      </w:r>
      <w:r w:rsidR="007C604E">
        <w:rPr>
          <w:rFonts w:cs="Arial"/>
          <w:b/>
          <w:sz w:val="24"/>
          <w:szCs w:val="24"/>
        </w:rPr>
        <w:t>.</w:t>
      </w:r>
    </w:p>
    <w:p w:rsidR="002877A4" w:rsidRDefault="00E631F1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From 1</w:t>
      </w:r>
      <w:r w:rsidRPr="00E631F1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 xml:space="preserve"> February 2015 Carlisle City Council</w:t>
      </w:r>
      <w:r w:rsidR="007C604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employed</w:t>
      </w:r>
      <w:r w:rsidR="007C604E">
        <w:rPr>
          <w:rFonts w:cs="Arial"/>
          <w:b/>
          <w:sz w:val="24"/>
          <w:szCs w:val="24"/>
        </w:rPr>
        <w:t xml:space="preserve"> t</w:t>
      </w:r>
      <w:r w:rsidR="0034694F">
        <w:rPr>
          <w:rFonts w:cs="Arial"/>
          <w:b/>
          <w:sz w:val="24"/>
          <w:szCs w:val="24"/>
        </w:rPr>
        <w:t>wo</w:t>
      </w:r>
      <w:r w:rsidR="002365BB">
        <w:rPr>
          <w:rFonts w:cs="Arial"/>
          <w:b/>
          <w:sz w:val="24"/>
          <w:szCs w:val="24"/>
        </w:rPr>
        <w:t xml:space="preserve"> part </w:t>
      </w:r>
      <w:proofErr w:type="gramStart"/>
      <w:r w:rsidR="007C604E">
        <w:rPr>
          <w:rFonts w:cs="Arial"/>
          <w:b/>
          <w:sz w:val="24"/>
          <w:szCs w:val="24"/>
        </w:rPr>
        <w:t>time</w:t>
      </w:r>
      <w:proofErr w:type="gramEnd"/>
      <w:r w:rsidR="007C604E">
        <w:rPr>
          <w:rFonts w:cs="Arial"/>
          <w:b/>
          <w:sz w:val="24"/>
          <w:szCs w:val="24"/>
        </w:rPr>
        <w:t xml:space="preserve"> </w:t>
      </w:r>
      <w:r w:rsidR="0034694F">
        <w:rPr>
          <w:rFonts w:cs="Arial"/>
          <w:b/>
          <w:sz w:val="24"/>
          <w:szCs w:val="24"/>
        </w:rPr>
        <w:t>Civil Enforcement Officers</w:t>
      </w:r>
      <w:r w:rsidR="002365BB">
        <w:rPr>
          <w:rFonts w:cs="Arial"/>
          <w:b/>
          <w:sz w:val="24"/>
          <w:szCs w:val="24"/>
        </w:rPr>
        <w:t xml:space="preserve"> FTE </w:t>
      </w:r>
      <w:r w:rsidR="007C604E">
        <w:rPr>
          <w:rFonts w:cs="Arial"/>
          <w:b/>
          <w:sz w:val="24"/>
          <w:szCs w:val="24"/>
        </w:rPr>
        <w:t>1.4</w:t>
      </w:r>
      <w:r w:rsidR="00857789">
        <w:rPr>
          <w:rFonts w:cs="Arial"/>
          <w:b/>
          <w:sz w:val="24"/>
          <w:szCs w:val="24"/>
        </w:rPr>
        <w:t xml:space="preserve"> to enforce all the remaining car parks still under the responsibility of Carlisle City Council</w:t>
      </w:r>
      <w:r w:rsidR="007C604E">
        <w:rPr>
          <w:rFonts w:cs="Arial"/>
          <w:b/>
          <w:sz w:val="24"/>
          <w:szCs w:val="24"/>
        </w:rPr>
        <w:t xml:space="preserve">. </w:t>
      </w:r>
      <w:r w:rsidR="002365BB">
        <w:rPr>
          <w:rFonts w:cs="Arial"/>
          <w:b/>
          <w:sz w:val="24"/>
          <w:szCs w:val="24"/>
        </w:rPr>
        <w:t>The CEOs form</w:t>
      </w:r>
      <w:r w:rsidR="007C604E">
        <w:rPr>
          <w:rFonts w:cs="Arial"/>
          <w:b/>
          <w:sz w:val="24"/>
          <w:szCs w:val="24"/>
        </w:rPr>
        <w:t xml:space="preserve"> part of the Neighbourhood Enforcement team </w:t>
      </w:r>
      <w:r w:rsidR="00857789">
        <w:rPr>
          <w:rFonts w:cs="Arial"/>
          <w:b/>
          <w:sz w:val="24"/>
          <w:szCs w:val="24"/>
        </w:rPr>
        <w:t>within</w:t>
      </w:r>
      <w:r w:rsidR="007C604E">
        <w:rPr>
          <w:rFonts w:cs="Arial"/>
          <w:b/>
          <w:sz w:val="24"/>
          <w:szCs w:val="24"/>
        </w:rPr>
        <w:t xml:space="preserve"> the Local Environment directorate.</w:t>
      </w:r>
    </w:p>
    <w:p w:rsidR="002877A4" w:rsidRDefault="002877A4" w:rsidP="009034BB">
      <w:pPr>
        <w:rPr>
          <w:rFonts w:cs="Arial"/>
          <w:b/>
          <w:sz w:val="24"/>
          <w:szCs w:val="24"/>
        </w:rPr>
      </w:pPr>
    </w:p>
    <w:p w:rsidR="007C604E" w:rsidRPr="002365BB" w:rsidRDefault="00E631F1" w:rsidP="009034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Professional Bodies</w:t>
      </w:r>
    </w:p>
    <w:p w:rsidR="009034BB" w:rsidRDefault="009034BB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Carlisle City Council is a member of the British Parking Association</w:t>
      </w:r>
      <w:r w:rsidR="002877A4">
        <w:rPr>
          <w:rFonts w:cs="Arial"/>
          <w:b/>
          <w:sz w:val="24"/>
          <w:szCs w:val="24"/>
        </w:rPr>
        <w:t xml:space="preserve"> (BPA), the UK’s professional body for the parking industry.</w:t>
      </w:r>
    </w:p>
    <w:p w:rsidR="00E631F1" w:rsidRDefault="00E631F1" w:rsidP="009034BB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7352235F" wp14:editId="3123F4FD">
            <wp:extent cx="1352550" cy="733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36" cy="7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F1" w:rsidRDefault="00E631F1" w:rsidP="009034BB">
      <w:pPr>
        <w:rPr>
          <w:rFonts w:cs="Arial"/>
          <w:b/>
          <w:sz w:val="24"/>
          <w:szCs w:val="24"/>
        </w:rPr>
      </w:pPr>
    </w:p>
    <w:p w:rsidR="00E631F1" w:rsidRDefault="000A5FF1" w:rsidP="002365B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Carlisle City Council is</w:t>
      </w:r>
      <w:r w:rsidR="00011BAE">
        <w:rPr>
          <w:rFonts w:cs="Arial"/>
          <w:b/>
          <w:sz w:val="24"/>
          <w:szCs w:val="24"/>
        </w:rPr>
        <w:t xml:space="preserve"> part of the PATROL scheme. </w:t>
      </w:r>
      <w:r w:rsidR="00E631F1">
        <w:rPr>
          <w:rFonts w:cs="Arial"/>
          <w:b/>
          <w:sz w:val="24"/>
          <w:szCs w:val="24"/>
        </w:rPr>
        <w:t xml:space="preserve"> PATROL is t</w:t>
      </w:r>
      <w:r w:rsidR="00011BAE">
        <w:rPr>
          <w:rFonts w:cs="Arial"/>
          <w:b/>
          <w:sz w:val="24"/>
          <w:szCs w:val="24"/>
        </w:rPr>
        <w:t xml:space="preserve">he joint committee of England &amp; Wales for the civil enforcement of </w:t>
      </w:r>
      <w:r>
        <w:rPr>
          <w:rFonts w:cs="Arial"/>
          <w:b/>
          <w:sz w:val="24"/>
          <w:szCs w:val="24"/>
        </w:rPr>
        <w:t>‘</w:t>
      </w:r>
      <w:r w:rsidR="00011BAE">
        <w:rPr>
          <w:rFonts w:cs="Arial"/>
          <w:b/>
          <w:sz w:val="24"/>
          <w:szCs w:val="24"/>
        </w:rPr>
        <w:t xml:space="preserve">Parking </w:t>
      </w:r>
      <w:r>
        <w:rPr>
          <w:rFonts w:cs="Arial"/>
          <w:b/>
          <w:sz w:val="24"/>
          <w:szCs w:val="24"/>
        </w:rPr>
        <w:t xml:space="preserve">and Traffic Regulations Outside London’ </w:t>
      </w:r>
      <w:r w:rsidR="00011BAE">
        <w:rPr>
          <w:rFonts w:cs="Arial"/>
          <w:b/>
          <w:sz w:val="24"/>
          <w:szCs w:val="24"/>
        </w:rPr>
        <w:t>(PATROL).</w:t>
      </w:r>
    </w:p>
    <w:p w:rsidR="002365BB" w:rsidRDefault="00034476" w:rsidP="002365BB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3564C3B7" wp14:editId="75B51B12">
            <wp:extent cx="1162050" cy="742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AE" w:rsidRPr="009034BB" w:rsidRDefault="001B38AE" w:rsidP="002365BB">
      <w:pPr>
        <w:rPr>
          <w:rFonts w:cs="Arial"/>
          <w:b/>
          <w:sz w:val="24"/>
          <w:szCs w:val="24"/>
        </w:rPr>
      </w:pPr>
      <w:r w:rsidRPr="009034BB">
        <w:rPr>
          <w:rFonts w:cs="Arial"/>
          <w:b/>
          <w:sz w:val="24"/>
          <w:szCs w:val="24"/>
        </w:rPr>
        <w:br w:type="page"/>
      </w:r>
    </w:p>
    <w:p w:rsidR="00A17B32" w:rsidRDefault="00A17B32">
      <w:pPr>
        <w:rPr>
          <w:rFonts w:cs="Arial"/>
          <w:b/>
          <w:sz w:val="24"/>
          <w:szCs w:val="24"/>
          <w:u w:val="single"/>
        </w:rPr>
      </w:pPr>
    </w:p>
    <w:p w:rsidR="00CC7FAA" w:rsidRDefault="00CA6864" w:rsidP="00244257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PCNs ISSUED</w:t>
      </w:r>
    </w:p>
    <w:p w:rsidR="00244257" w:rsidRPr="00CC7FAA" w:rsidRDefault="00244257" w:rsidP="00244257">
      <w:pPr>
        <w:jc w:val="center"/>
        <w:rPr>
          <w:rFonts w:cs="Arial"/>
          <w:b/>
          <w:sz w:val="40"/>
          <w:szCs w:val="40"/>
          <w:u w:val="single"/>
        </w:rPr>
      </w:pPr>
    </w:p>
    <w:p w:rsidR="003A50F1" w:rsidRPr="00FE4DB1" w:rsidRDefault="003A50F1">
      <w:pPr>
        <w:rPr>
          <w:rFonts w:ascii="Arial" w:hAnsi="Arial" w:cs="Arial"/>
          <w:sz w:val="24"/>
          <w:szCs w:val="24"/>
        </w:rPr>
      </w:pPr>
      <w:r w:rsidRPr="00FE4D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09E2358" wp14:editId="2DBEE2AD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E4DB1" w:rsidRPr="00757857" w:rsidTr="00FE4DB1">
        <w:tc>
          <w:tcPr>
            <w:tcW w:w="3190" w:type="dxa"/>
          </w:tcPr>
          <w:p w:rsidR="00FE4DB1" w:rsidRPr="00757857" w:rsidRDefault="00FE4DB1" w:rsidP="00FE4DB1">
            <w:pPr>
              <w:tabs>
                <w:tab w:val="left" w:pos="26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4DB1" w:rsidRPr="00A17B32" w:rsidRDefault="00FE4DB1" w:rsidP="00FE4DB1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7B32">
              <w:rPr>
                <w:rFonts w:cs="Arial"/>
                <w:b/>
                <w:sz w:val="24"/>
                <w:szCs w:val="24"/>
              </w:rPr>
              <w:t>HIGHER LEVEL</w:t>
            </w:r>
          </w:p>
        </w:tc>
        <w:tc>
          <w:tcPr>
            <w:tcW w:w="3190" w:type="dxa"/>
          </w:tcPr>
          <w:p w:rsidR="00FE4DB1" w:rsidRPr="00A17B32" w:rsidRDefault="00FE4DB1" w:rsidP="00FE4DB1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17B32">
              <w:rPr>
                <w:rFonts w:cs="Arial"/>
                <w:b/>
                <w:sz w:val="24"/>
                <w:szCs w:val="24"/>
              </w:rPr>
              <w:t>LOWER LEVEL</w:t>
            </w:r>
          </w:p>
        </w:tc>
      </w:tr>
      <w:tr w:rsidR="00FE4DB1" w:rsidRPr="00757857" w:rsidTr="00FE4DB1">
        <w:tc>
          <w:tcPr>
            <w:tcW w:w="3190" w:type="dxa"/>
          </w:tcPr>
          <w:p w:rsidR="00FE4DB1" w:rsidRPr="00A17B32" w:rsidRDefault="00FE4DB1" w:rsidP="00757857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A17B32">
              <w:rPr>
                <w:rFonts w:cs="Arial"/>
                <w:b/>
                <w:sz w:val="24"/>
                <w:szCs w:val="24"/>
              </w:rPr>
              <w:t>NUMBER OF PCNs</w:t>
            </w:r>
          </w:p>
        </w:tc>
        <w:tc>
          <w:tcPr>
            <w:tcW w:w="3190" w:type="dxa"/>
          </w:tcPr>
          <w:p w:rsidR="00FE4DB1" w:rsidRPr="00757857" w:rsidRDefault="00A17B32" w:rsidP="00FE4DB1">
            <w:pPr>
              <w:tabs>
                <w:tab w:val="left" w:pos="26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3190" w:type="dxa"/>
          </w:tcPr>
          <w:p w:rsidR="00A17B32" w:rsidRPr="00757857" w:rsidRDefault="00A17B32" w:rsidP="00A17B32">
            <w:pPr>
              <w:tabs>
                <w:tab w:val="left" w:pos="26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1,180</w:t>
            </w:r>
          </w:p>
        </w:tc>
      </w:tr>
      <w:tr w:rsidR="00FE4DB1" w:rsidRPr="00757857" w:rsidTr="00FE4DB1">
        <w:tc>
          <w:tcPr>
            <w:tcW w:w="3190" w:type="dxa"/>
          </w:tcPr>
          <w:p w:rsidR="00FE4DB1" w:rsidRPr="00A17B32" w:rsidRDefault="00FE4DB1" w:rsidP="00757857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A17B32">
              <w:rPr>
                <w:rFonts w:cs="Arial"/>
                <w:b/>
                <w:sz w:val="24"/>
                <w:szCs w:val="24"/>
              </w:rPr>
              <w:t>PERCENTAGE OF PCNs</w:t>
            </w:r>
            <w:r w:rsidR="00A17B32">
              <w:rPr>
                <w:rFonts w:cs="Arial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:rsidR="00A17B32" w:rsidRPr="00757857" w:rsidRDefault="00CC7FAA" w:rsidP="00A17B32">
            <w:pPr>
              <w:tabs>
                <w:tab w:val="left" w:pos="26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FE4DB1" w:rsidRPr="00757857" w:rsidRDefault="00CC7FAA" w:rsidP="00A17B32">
            <w:pPr>
              <w:tabs>
                <w:tab w:val="left" w:pos="26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</w:tr>
    </w:tbl>
    <w:p w:rsidR="00FE4DB1" w:rsidRDefault="00FE4DB1" w:rsidP="003A50F1">
      <w:pPr>
        <w:tabs>
          <w:tab w:val="left" w:pos="2655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A17B32" w:rsidTr="00A17B32">
        <w:tc>
          <w:tcPr>
            <w:tcW w:w="4785" w:type="dxa"/>
          </w:tcPr>
          <w:p w:rsidR="00A17B32" w:rsidRPr="00A17B32" w:rsidRDefault="00A17B32" w:rsidP="003A50F1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A17B32">
              <w:rPr>
                <w:rFonts w:cs="Arial"/>
                <w:b/>
                <w:sz w:val="24"/>
                <w:szCs w:val="24"/>
              </w:rPr>
              <w:t>TOTAL NUMBER OF PCNs</w:t>
            </w:r>
          </w:p>
        </w:tc>
        <w:tc>
          <w:tcPr>
            <w:tcW w:w="2269" w:type="dxa"/>
          </w:tcPr>
          <w:p w:rsidR="00A17B32" w:rsidRPr="00C436E0" w:rsidRDefault="00A17B32" w:rsidP="00C436E0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436E0">
              <w:rPr>
                <w:rFonts w:cs="Arial"/>
                <w:b/>
                <w:sz w:val="24"/>
                <w:szCs w:val="24"/>
              </w:rPr>
              <w:t>1,317</w:t>
            </w:r>
          </w:p>
        </w:tc>
      </w:tr>
    </w:tbl>
    <w:p w:rsidR="00A17B32" w:rsidRPr="00757857" w:rsidRDefault="00A17B32" w:rsidP="003A50F1">
      <w:pPr>
        <w:tabs>
          <w:tab w:val="left" w:pos="2655"/>
        </w:tabs>
        <w:rPr>
          <w:rFonts w:cs="Arial"/>
          <w:sz w:val="24"/>
          <w:szCs w:val="24"/>
        </w:rPr>
      </w:pPr>
    </w:p>
    <w:p w:rsidR="00C50361" w:rsidRDefault="00C50361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436E0" w:rsidRDefault="00C436E0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DD4F9A" w:rsidRDefault="00663635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CC7FAA">
        <w:rPr>
          <w:rFonts w:cs="Arial"/>
          <w:b/>
          <w:sz w:val="40"/>
          <w:szCs w:val="40"/>
          <w:u w:val="single"/>
        </w:rPr>
        <w:t>PCNs PAID</w:t>
      </w: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DD4F9A" w:rsidRPr="00DD4F9A" w:rsidRDefault="00DD4F9A" w:rsidP="003A50F1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0F0ADC6B" wp14:editId="2EB6B8FB">
            <wp:extent cx="5486400" cy="31908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2476"/>
        <w:gridCol w:w="2331"/>
      </w:tblGrid>
      <w:tr w:rsidR="00FE4DB1" w:rsidTr="009A688D">
        <w:tc>
          <w:tcPr>
            <w:tcW w:w="4763" w:type="dxa"/>
          </w:tcPr>
          <w:p w:rsidR="00FE4DB1" w:rsidRDefault="00FE4DB1" w:rsidP="003A50F1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:rsidR="00FE4DB1" w:rsidRPr="00757857" w:rsidRDefault="00FE4DB1" w:rsidP="00757857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331" w:type="dxa"/>
          </w:tcPr>
          <w:p w:rsidR="00FE4DB1" w:rsidRPr="00757857" w:rsidRDefault="00FE4DB1" w:rsidP="00757857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FE4DB1" w:rsidRPr="00DF7352" w:rsidTr="009A688D">
        <w:tc>
          <w:tcPr>
            <w:tcW w:w="4763" w:type="dxa"/>
          </w:tcPr>
          <w:p w:rsidR="00FE4DB1" w:rsidRPr="00CC7FAA" w:rsidRDefault="00FE4DB1" w:rsidP="003A50F1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CC7FAA">
              <w:rPr>
                <w:rFonts w:cs="Arial"/>
                <w:b/>
                <w:sz w:val="24"/>
                <w:szCs w:val="24"/>
              </w:rPr>
              <w:t>NUMBER OF PCNs PAID</w:t>
            </w:r>
          </w:p>
        </w:tc>
        <w:tc>
          <w:tcPr>
            <w:tcW w:w="2476" w:type="dxa"/>
          </w:tcPr>
          <w:p w:rsidR="00FE4DB1" w:rsidRPr="00E644B7" w:rsidRDefault="00C436E0" w:rsidP="00CC7FAA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644B7">
              <w:rPr>
                <w:rFonts w:cs="Arial"/>
                <w:b/>
                <w:sz w:val="24"/>
                <w:szCs w:val="24"/>
              </w:rPr>
              <w:t>1</w:t>
            </w:r>
            <w:r w:rsidR="007B34A8">
              <w:rPr>
                <w:rFonts w:cs="Arial"/>
                <w:b/>
                <w:sz w:val="24"/>
                <w:szCs w:val="24"/>
              </w:rPr>
              <w:t>,</w:t>
            </w:r>
            <w:r w:rsidRPr="00E644B7">
              <w:rPr>
                <w:rFonts w:cs="Arial"/>
                <w:b/>
                <w:sz w:val="24"/>
                <w:szCs w:val="24"/>
              </w:rPr>
              <w:t>015</w:t>
            </w:r>
          </w:p>
        </w:tc>
        <w:tc>
          <w:tcPr>
            <w:tcW w:w="2331" w:type="dxa"/>
          </w:tcPr>
          <w:p w:rsidR="00FE4DB1" w:rsidRPr="00E644B7" w:rsidRDefault="007B34A8" w:rsidP="00CC7FAA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77</w:t>
            </w:r>
          </w:p>
        </w:tc>
      </w:tr>
      <w:tr w:rsidR="009A688D" w:rsidRPr="00DF7352" w:rsidTr="009A688D">
        <w:tc>
          <w:tcPr>
            <w:tcW w:w="4763" w:type="dxa"/>
          </w:tcPr>
          <w:p w:rsidR="009A688D" w:rsidRPr="00CC7FAA" w:rsidRDefault="00CC7FAA" w:rsidP="003A50F1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CC7FAA">
              <w:rPr>
                <w:rFonts w:cs="Arial"/>
                <w:b/>
                <w:sz w:val="24"/>
                <w:szCs w:val="24"/>
              </w:rPr>
              <w:t>NU</w:t>
            </w:r>
            <w:r w:rsidR="009A688D" w:rsidRPr="00CC7FAA">
              <w:rPr>
                <w:rFonts w:cs="Arial"/>
                <w:b/>
                <w:sz w:val="24"/>
                <w:szCs w:val="24"/>
              </w:rPr>
              <w:t>MBER OF PCNs PAID AT DISCOUNT RATE</w:t>
            </w:r>
          </w:p>
        </w:tc>
        <w:tc>
          <w:tcPr>
            <w:tcW w:w="2476" w:type="dxa"/>
          </w:tcPr>
          <w:p w:rsidR="009A688D" w:rsidRPr="00E644B7" w:rsidRDefault="00C436E0" w:rsidP="00CC7FAA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644B7">
              <w:rPr>
                <w:rFonts w:cs="Arial"/>
                <w:b/>
                <w:sz w:val="24"/>
                <w:szCs w:val="24"/>
              </w:rPr>
              <w:t>868</w:t>
            </w:r>
          </w:p>
        </w:tc>
        <w:tc>
          <w:tcPr>
            <w:tcW w:w="2331" w:type="dxa"/>
          </w:tcPr>
          <w:p w:rsidR="009A688D" w:rsidRPr="00E644B7" w:rsidRDefault="00CC7FAA" w:rsidP="00CC7FAA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644B7">
              <w:rPr>
                <w:rFonts w:cs="Arial"/>
                <w:b/>
                <w:sz w:val="24"/>
                <w:szCs w:val="24"/>
              </w:rPr>
              <w:t>86</w:t>
            </w:r>
          </w:p>
        </w:tc>
      </w:tr>
    </w:tbl>
    <w:p w:rsidR="00DF7352" w:rsidRDefault="00DF7352" w:rsidP="003A50F1">
      <w:pPr>
        <w:tabs>
          <w:tab w:val="left" w:pos="2655"/>
        </w:tabs>
        <w:rPr>
          <w:rFonts w:ascii="Arial" w:hAnsi="Arial" w:cs="Arial"/>
          <w:sz w:val="24"/>
          <w:szCs w:val="24"/>
        </w:rPr>
      </w:pPr>
    </w:p>
    <w:p w:rsidR="00757857" w:rsidRDefault="0075785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BD52B5" w:rsidRDefault="00BD52B5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C7FAA" w:rsidRDefault="00CC7FA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DD4F9A" w:rsidRDefault="00E644B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DD4F9A">
        <w:rPr>
          <w:rFonts w:cs="Arial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182880" distB="182880" distL="91440" distR="91440" simplePos="0" relativeHeight="251671552" behindDoc="0" locked="0" layoutInCell="1" allowOverlap="1" wp14:anchorId="32E3534B" wp14:editId="55FF437B">
                <wp:simplePos x="0" y="0"/>
                <wp:positionH relativeFrom="margin">
                  <wp:posOffset>-238125</wp:posOffset>
                </wp:positionH>
                <wp:positionV relativeFrom="line">
                  <wp:posOffset>870585</wp:posOffset>
                </wp:positionV>
                <wp:extent cx="5867400" cy="13144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97B" w:rsidRDefault="00DD4F9A" w:rsidP="00A2797B">
                            <w:pPr>
                              <w:pStyle w:val="IntenseQuote"/>
                              <w:spacing w:before="0" w:after="0"/>
                              <w:ind w:left="720"/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recipient of a PCN </w:t>
                            </w:r>
                            <w:r w:rsidR="00080609"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has the opportunity to make an </w:t>
                            </w:r>
                            <w:r w:rsidR="00A2797B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A2797B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D4F9A" w:rsidRPr="00E644B7" w:rsidRDefault="00080609" w:rsidP="00A2797B">
                            <w:pPr>
                              <w:pStyle w:val="IntenseQuote"/>
                              <w:spacing w:before="0" w:after="0"/>
                              <w:ind w:left="720"/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‘Informal representation’ to Carlisle City Council. If unsuccessful, the appellant may make a ‘Formal Representation’ to the Traffic Penalty Tribunal (TPT)</w:t>
                            </w:r>
                            <w:r w:rsidR="00E644B7"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an independent </w:t>
                            </w:r>
                            <w:r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adjudicat</w:t>
                            </w:r>
                            <w:r w:rsidR="005C5558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or as it is</w:t>
                            </w:r>
                            <w:r w:rsidR="00E644B7"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more commonly known</w:t>
                            </w:r>
                            <w:r w:rsidRPr="00E644B7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1" type="#_x0000_t202" style="position:absolute;left:0;text-align:left;margin-left:-18.75pt;margin-top:68.55pt;width:462pt;height:103.5pt;z-index:25167155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" fillcolor="#4f81bd [3204]" stroked="f" strokeweight=".5pt">
                <v:textbox inset="0,0,0,0">
                  <w:txbxContent>
                    <w:p w:rsidR="00A2797B" w:rsidRDefault="00DD4F9A" w:rsidP="00A2797B">
                      <w:pPr>
                        <w:pStyle w:val="IntenseQuote"/>
                        <w:spacing w:before="0" w:after="0"/>
                        <w:ind w:left="720"/>
                        <w:jc w:val="center"/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 xml:space="preserve">The recipient of a PCN </w:t>
                      </w:r>
                      <w:r w:rsidR="00080609"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 xml:space="preserve">has the opportunity to make an </w:t>
                      </w:r>
                      <w:r w:rsidR="00A2797B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A2797B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DD4F9A" w:rsidRPr="00E644B7" w:rsidRDefault="00080609" w:rsidP="00A2797B">
                      <w:pPr>
                        <w:pStyle w:val="IntenseQuote"/>
                        <w:spacing w:before="0" w:after="0"/>
                        <w:ind w:left="720"/>
                        <w:jc w:val="center"/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‘Informal representation’ to Carlisle City Council. If unsuccessful, the appellant may make a ‘Formal Representation’ to the Traffic Penalty Tribunal (TPT)</w:t>
                      </w:r>
                      <w:r w:rsidR="00E644B7"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 xml:space="preserve"> or an independent </w:t>
                      </w:r>
                      <w:r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adjudicat</w:t>
                      </w:r>
                      <w:r w:rsidR="005C5558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or as it is</w:t>
                      </w:r>
                      <w:r w:rsidR="00E644B7"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 xml:space="preserve"> more commonly known</w:t>
                      </w:r>
                      <w:r w:rsidRPr="00E644B7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A6864" w:rsidRPr="00CA6864">
        <w:rPr>
          <w:rFonts w:cs="Arial"/>
          <w:b/>
          <w:sz w:val="40"/>
          <w:szCs w:val="40"/>
          <w:u w:val="single"/>
        </w:rPr>
        <w:t>FORMAL / INFORMAL REPRESENTATION</w:t>
      </w:r>
    </w:p>
    <w:p w:rsidR="00DD4F9A" w:rsidRPr="00CA6864" w:rsidRDefault="00DD4F9A" w:rsidP="003A50F1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2402"/>
        <w:gridCol w:w="2152"/>
      </w:tblGrid>
      <w:tr w:rsidR="00663635" w:rsidTr="00663635">
        <w:tc>
          <w:tcPr>
            <w:tcW w:w="5016" w:type="dxa"/>
          </w:tcPr>
          <w:p w:rsidR="00663635" w:rsidRDefault="00663635" w:rsidP="003A50F1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663635" w:rsidRPr="00757857" w:rsidRDefault="00663635" w:rsidP="00757857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152" w:type="dxa"/>
          </w:tcPr>
          <w:p w:rsidR="00663635" w:rsidRPr="00757857" w:rsidRDefault="00663635" w:rsidP="00757857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663635" w:rsidTr="00663635">
        <w:tc>
          <w:tcPr>
            <w:tcW w:w="5016" w:type="dxa"/>
          </w:tcPr>
          <w:p w:rsidR="00663635" w:rsidRPr="00CA6864" w:rsidRDefault="00663635" w:rsidP="003A50F1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CA6864">
              <w:rPr>
                <w:rFonts w:cs="Arial"/>
                <w:b/>
                <w:sz w:val="24"/>
                <w:szCs w:val="24"/>
              </w:rPr>
              <w:t>NUMBER OF PCNs AGAINST WHICH AN INFORMAL OR FORMAL REPRESENTATION WAS MADE</w:t>
            </w:r>
          </w:p>
        </w:tc>
        <w:tc>
          <w:tcPr>
            <w:tcW w:w="2402" w:type="dxa"/>
          </w:tcPr>
          <w:p w:rsidR="00CA6864" w:rsidRPr="00E644B7" w:rsidRDefault="00CA6864" w:rsidP="00CA6864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63635" w:rsidRPr="00E644B7" w:rsidRDefault="00CA6864" w:rsidP="00CA6864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644B7">
              <w:rPr>
                <w:rFonts w:cs="Arial"/>
                <w:b/>
                <w:sz w:val="24"/>
                <w:szCs w:val="24"/>
              </w:rPr>
              <w:t>395</w:t>
            </w:r>
          </w:p>
        </w:tc>
        <w:tc>
          <w:tcPr>
            <w:tcW w:w="2152" w:type="dxa"/>
          </w:tcPr>
          <w:p w:rsidR="00663635" w:rsidRPr="00E644B7" w:rsidRDefault="00663635" w:rsidP="00CA6864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A6864" w:rsidRPr="00E644B7" w:rsidRDefault="00CA6864" w:rsidP="00CA6864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644B7">
              <w:rPr>
                <w:rFonts w:cs="Arial"/>
                <w:b/>
                <w:sz w:val="24"/>
                <w:szCs w:val="24"/>
              </w:rPr>
              <w:t>30</w:t>
            </w:r>
          </w:p>
        </w:tc>
      </w:tr>
    </w:tbl>
    <w:p w:rsidR="00580BB2" w:rsidRDefault="00580BB2" w:rsidP="00580BB2">
      <w:pPr>
        <w:tabs>
          <w:tab w:val="left" w:pos="2655"/>
        </w:tabs>
        <w:jc w:val="both"/>
        <w:rPr>
          <w:rFonts w:ascii="Arial" w:hAnsi="Arial" w:cs="Arial"/>
          <w:sz w:val="24"/>
          <w:szCs w:val="24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jc w:val="both"/>
        <w:rPr>
          <w:rFonts w:cs="Arial"/>
          <w:b/>
          <w:sz w:val="24"/>
          <w:szCs w:val="24"/>
          <w:u w:val="single"/>
        </w:rPr>
      </w:pPr>
    </w:p>
    <w:p w:rsidR="00E644B7" w:rsidRDefault="00E644B7" w:rsidP="003B1B9C">
      <w:pPr>
        <w:tabs>
          <w:tab w:val="left" w:pos="2655"/>
        </w:tabs>
        <w:jc w:val="both"/>
        <w:rPr>
          <w:rFonts w:cs="Arial"/>
          <w:b/>
          <w:sz w:val="40"/>
          <w:szCs w:val="40"/>
          <w:u w:val="single"/>
        </w:rPr>
      </w:pPr>
    </w:p>
    <w:p w:rsidR="00DD4F9A" w:rsidRDefault="00E644B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CA6864">
        <w:rPr>
          <w:i/>
          <w:iCs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182880" distB="182880" distL="91440" distR="91440" simplePos="0" relativeHeight="251669504" behindDoc="0" locked="0" layoutInCell="1" allowOverlap="1" wp14:anchorId="3CCC9A5A" wp14:editId="104A5247">
                <wp:simplePos x="0" y="0"/>
                <wp:positionH relativeFrom="margin">
                  <wp:posOffset>-180975</wp:posOffset>
                </wp:positionH>
                <wp:positionV relativeFrom="line">
                  <wp:posOffset>794385</wp:posOffset>
                </wp:positionV>
                <wp:extent cx="5876925" cy="1524000"/>
                <wp:effectExtent l="0" t="0" r="9525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524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F9A" w:rsidRPr="00580BB2" w:rsidRDefault="00DD4F9A" w:rsidP="00A2797B">
                            <w:pPr>
                              <w:pStyle w:val="IntenseQuote"/>
                              <w:spacing w:before="0" w:after="0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6864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There are 9 statutory grounds on which a Penalty Charge Notice</w:t>
                            </w:r>
                            <w:r w:rsidRPr="00580BB2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(PCN)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can be </w:t>
                            </w:r>
                            <w:r w:rsidR="00E644B7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appealed or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cancelled. In addition to the 9 statutory grounds, Carlisle City Council will also consider compelling</w:t>
                            </w:r>
                            <w:r w:rsidR="00085C38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evidence or any</w:t>
                            </w:r>
                            <w:r w:rsidR="00A8224A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other extenuating </w:t>
                            </w:r>
                            <w:r w:rsidR="00B4454A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circumstances why</w:t>
                            </w:r>
                            <w:r w:rsidR="00727AAE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</w:t>
                            </w:r>
                            <w:r w:rsidR="00A8224A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e particular circumstances a PCN</w:t>
                            </w:r>
                            <w:r w:rsidR="00A8224A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should be cancelled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2" type="#_x0000_t202" style="position:absolute;left:0;text-align:left;margin-left:-14.25pt;margin-top:62.55pt;width:462.75pt;height:120pt;z-index:25166950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" fillcolor="#4f81bd" stroked="f" strokeweight=".5pt">
                <v:textbox inset="0,0,0,0">
                  <w:txbxContent>
                    <w:p w:rsidR="00DD4F9A" w:rsidRPr="00580BB2" w:rsidRDefault="00DD4F9A" w:rsidP="00A2797B">
                      <w:pPr>
                        <w:pStyle w:val="IntenseQuote"/>
                        <w:spacing w:before="0" w:after="0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6864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There are 9 statutory grounds on which a Penalty Charge Notice</w:t>
                      </w:r>
                      <w:r w:rsidRPr="00580BB2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(PCN)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can be </w:t>
                      </w:r>
                      <w:r w:rsidR="00E644B7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appealed or 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cancelled. In addition to the 9 statutory grounds, Carlisle City Council will also consider compelling</w:t>
                      </w:r>
                      <w:r w:rsidR="00085C38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evidence or any</w:t>
                      </w:r>
                      <w:r w:rsidR="00A8224A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other extenuating </w:t>
                      </w:r>
                      <w:r w:rsidR="00B4454A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circumstances why</w:t>
                      </w:r>
                      <w:r w:rsidR="00727AAE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in th</w:t>
                      </w:r>
                      <w:r w:rsidR="00A8224A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os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e particular circumstances a PCN</w:t>
                      </w:r>
                      <w:r w:rsidR="00A8224A"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should be cancelled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63635" w:rsidRPr="00CA6864">
        <w:rPr>
          <w:rFonts w:cs="Arial"/>
          <w:b/>
          <w:sz w:val="40"/>
          <w:szCs w:val="40"/>
          <w:u w:val="single"/>
        </w:rPr>
        <w:t>PCN CANCELLATIONS</w:t>
      </w:r>
    </w:p>
    <w:p w:rsidR="00DD4F9A" w:rsidRPr="00CA6864" w:rsidRDefault="00DD4F9A" w:rsidP="003B1B9C">
      <w:pPr>
        <w:tabs>
          <w:tab w:val="left" w:pos="2655"/>
        </w:tabs>
        <w:jc w:val="both"/>
        <w:rPr>
          <w:rFonts w:cs="Arial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2019"/>
      </w:tblGrid>
      <w:tr w:rsidR="00580BB2" w:rsidRPr="00757857" w:rsidTr="00DC375D">
        <w:tc>
          <w:tcPr>
            <w:tcW w:w="4361" w:type="dxa"/>
          </w:tcPr>
          <w:p w:rsidR="006C4E05" w:rsidRPr="006C4E05" w:rsidRDefault="006C4E05" w:rsidP="006C4E05">
            <w:pPr>
              <w:tabs>
                <w:tab w:val="left" w:pos="26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6C4E05" w:rsidRPr="00757857" w:rsidRDefault="00757857" w:rsidP="006C4E05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019" w:type="dxa"/>
          </w:tcPr>
          <w:p w:rsidR="006C4E05" w:rsidRPr="00757857" w:rsidRDefault="00757857" w:rsidP="006C4E05">
            <w:pPr>
              <w:tabs>
                <w:tab w:val="left" w:pos="265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57857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580BB2" w:rsidRPr="00757857" w:rsidTr="00DC375D">
        <w:tc>
          <w:tcPr>
            <w:tcW w:w="4361" w:type="dxa"/>
          </w:tcPr>
          <w:p w:rsidR="00C50361" w:rsidRPr="00CA6864" w:rsidRDefault="00C50361" w:rsidP="00F01540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CA6864">
              <w:rPr>
                <w:rFonts w:cs="Arial"/>
                <w:b/>
                <w:sz w:val="24"/>
                <w:szCs w:val="24"/>
              </w:rPr>
              <w:t>NUMBER OF PCNs CANCELLED AS A RESULT OF AN INFORMAL OR FORMAL REPRESENTATION</w:t>
            </w:r>
          </w:p>
        </w:tc>
        <w:tc>
          <w:tcPr>
            <w:tcW w:w="2019" w:type="dxa"/>
          </w:tcPr>
          <w:p w:rsidR="00C50361" w:rsidRPr="00085C38" w:rsidRDefault="00C50361" w:rsidP="00F01540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A6864" w:rsidRPr="00085C38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C3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19" w:type="dxa"/>
          </w:tcPr>
          <w:p w:rsidR="00C50361" w:rsidRPr="00085C38" w:rsidRDefault="00C50361" w:rsidP="00F01540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A6864" w:rsidRPr="00085C38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C3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80BB2" w:rsidTr="00DC375D">
        <w:tc>
          <w:tcPr>
            <w:tcW w:w="4361" w:type="dxa"/>
          </w:tcPr>
          <w:p w:rsidR="00C50361" w:rsidRPr="00CA6864" w:rsidRDefault="00C50361" w:rsidP="003A50F1">
            <w:pPr>
              <w:tabs>
                <w:tab w:val="left" w:pos="2655"/>
              </w:tabs>
              <w:rPr>
                <w:rFonts w:cs="Arial"/>
                <w:b/>
                <w:sz w:val="24"/>
                <w:szCs w:val="24"/>
              </w:rPr>
            </w:pPr>
            <w:r w:rsidRPr="00CA6864">
              <w:rPr>
                <w:rFonts w:cs="Arial"/>
                <w:b/>
                <w:sz w:val="24"/>
                <w:szCs w:val="24"/>
              </w:rPr>
              <w:t>NUMBER OF PCNs WRITTEN OFF FOR OTHER REASONS (E.G. CEO ERROR OR DRIVER UNTRACEABLE)</w:t>
            </w:r>
          </w:p>
        </w:tc>
        <w:tc>
          <w:tcPr>
            <w:tcW w:w="2019" w:type="dxa"/>
          </w:tcPr>
          <w:p w:rsidR="00C50361" w:rsidRPr="00CA6864" w:rsidRDefault="00C50361" w:rsidP="003A50F1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A6864" w:rsidRPr="00CA6864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6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019" w:type="dxa"/>
          </w:tcPr>
          <w:p w:rsidR="00C50361" w:rsidRPr="00CA6864" w:rsidRDefault="00C50361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864" w:rsidRPr="00CA6864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86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A6864" w:rsidTr="00DC375D">
        <w:tc>
          <w:tcPr>
            <w:tcW w:w="4361" w:type="dxa"/>
          </w:tcPr>
          <w:p w:rsidR="00CA6864" w:rsidRPr="00CA6864" w:rsidRDefault="00CA6864" w:rsidP="00CA6864">
            <w:pPr>
              <w:tabs>
                <w:tab w:val="left" w:pos="2655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2019" w:type="dxa"/>
          </w:tcPr>
          <w:p w:rsidR="00CA6864" w:rsidRPr="00CA6864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864">
              <w:rPr>
                <w:rFonts w:ascii="Arial" w:hAnsi="Arial" w:cs="Arial"/>
                <w:b/>
                <w:sz w:val="24"/>
                <w:szCs w:val="24"/>
              </w:rPr>
              <w:t>306</w:t>
            </w:r>
          </w:p>
        </w:tc>
        <w:tc>
          <w:tcPr>
            <w:tcW w:w="2019" w:type="dxa"/>
          </w:tcPr>
          <w:p w:rsidR="00CA6864" w:rsidRPr="00CA6864" w:rsidRDefault="00CA6864" w:rsidP="00CA6864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61" w:rsidRDefault="00C50361" w:rsidP="003A50F1">
      <w:pPr>
        <w:tabs>
          <w:tab w:val="left" w:pos="2655"/>
        </w:tabs>
        <w:rPr>
          <w:rFonts w:ascii="Arial" w:hAnsi="Arial" w:cs="Arial"/>
          <w:sz w:val="24"/>
          <w:szCs w:val="24"/>
        </w:rPr>
      </w:pPr>
    </w:p>
    <w:p w:rsidR="00E85072" w:rsidRDefault="00E85072" w:rsidP="003A50F1">
      <w:pPr>
        <w:tabs>
          <w:tab w:val="left" w:pos="2655"/>
        </w:tabs>
        <w:rPr>
          <w:rFonts w:ascii="Arial" w:hAnsi="Arial" w:cs="Arial"/>
          <w:sz w:val="24"/>
          <w:szCs w:val="24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Default="00CA6864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A6864" w:rsidRPr="00E644B7" w:rsidRDefault="000A5FF1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CA6864">
        <w:rPr>
          <w:rFonts w:cs="Arial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59A8C3A6" wp14:editId="3A66ACB8">
                <wp:simplePos x="0" y="0"/>
                <wp:positionH relativeFrom="margin">
                  <wp:posOffset>-161925</wp:posOffset>
                </wp:positionH>
                <wp:positionV relativeFrom="line">
                  <wp:posOffset>1003935</wp:posOffset>
                </wp:positionV>
                <wp:extent cx="5934075" cy="1172210"/>
                <wp:effectExtent l="0" t="0" r="9525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B9C" w:rsidRPr="00E85072" w:rsidRDefault="00E85072" w:rsidP="00A2797B">
                            <w:pPr>
                              <w:pStyle w:val="IntenseQuote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independent adjudicator will consider the evidence submitted by the appellant and Carlisle City Council. The independent adjudicator </w:t>
                            </w:r>
                            <w:r w:rsidR="002A4D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can either allow or dismiss the appeal based on the 9 statutory grounds. Carlisle City Council may exercise its discretion and cancel a PCN at any stage of the appeal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-12.75pt;margin-top:79.05pt;width:467.25pt;height:92.3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" fillcolor="#4f81bd [3204]" stroked="f" strokeweight=".5pt">
                <v:textbox style="mso-fit-shape-to-text:t" inset="0,0,0,0">
                  <w:txbxContent>
                    <w:p w:rsidR="003B1B9C" w:rsidRPr="00E85072" w:rsidRDefault="00E85072" w:rsidP="00A2797B">
                      <w:pPr>
                        <w:pStyle w:val="IntenseQuote"/>
                        <w:spacing w:before="0" w:after="0"/>
                        <w:jc w:val="center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independent adjudicator will consider the evidence submitted by the appellant and Carlisle City Council. The independent adjudicator </w:t>
                      </w:r>
                      <w:r w:rsidR="002A4D36">
                        <w:rPr>
                          <w:color w:val="FFFFFF" w:themeColor="background1"/>
                          <w:sz w:val="28"/>
                          <w:szCs w:val="28"/>
                        </w:rPr>
                        <w:t>can either allow or dismiss the appeal based on the 9 statutory grounds. Carlisle City Council may exercise its discretion and cancel a PCN at any stage of the appeal process.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A6864" w:rsidRPr="00E644B7">
        <w:rPr>
          <w:rFonts w:cs="Arial"/>
          <w:b/>
          <w:sz w:val="40"/>
          <w:szCs w:val="40"/>
          <w:u w:val="single"/>
        </w:rPr>
        <w:t>APPEALS TO INDEPENDENT ADJUDICATOR</w:t>
      </w:r>
    </w:p>
    <w:p w:rsidR="003B1B9C" w:rsidRPr="00CA6864" w:rsidRDefault="003B1B9C" w:rsidP="003B1B9C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3B1B9C" w:rsidRPr="003B1B9C" w:rsidRDefault="003B1B9C" w:rsidP="003B1B9C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C50361" w:rsidRPr="004E75CE" w:rsidRDefault="00C50361" w:rsidP="008E1898">
      <w:pPr>
        <w:tabs>
          <w:tab w:val="left" w:pos="2655"/>
        </w:tabs>
        <w:jc w:val="center"/>
        <w:rPr>
          <w:rFonts w:cs="Arial"/>
          <w:b/>
          <w:sz w:val="24"/>
          <w:szCs w:val="24"/>
        </w:rPr>
      </w:pPr>
      <w:r w:rsidRPr="004E75CE">
        <w:rPr>
          <w:rFonts w:cs="Arial"/>
          <w:b/>
          <w:sz w:val="24"/>
          <w:szCs w:val="24"/>
        </w:rPr>
        <w:t>TOTAL NUMBER OF APPEALS TO INDEPENDENT ADJUDICATOR</w:t>
      </w:r>
    </w:p>
    <w:p w:rsidR="008E1898" w:rsidRDefault="008E1898" w:rsidP="003A50F1">
      <w:pPr>
        <w:tabs>
          <w:tab w:val="left" w:pos="2655"/>
        </w:tabs>
        <w:rPr>
          <w:rFonts w:cs="Arial"/>
          <w:sz w:val="24"/>
          <w:szCs w:val="24"/>
        </w:rPr>
      </w:pPr>
      <w:r w:rsidRPr="008E1898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68A4" wp14:editId="5B7603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04825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98" w:rsidRPr="008E1898" w:rsidRDefault="00244257" w:rsidP="008E189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0;margin-top:0;width:186.95pt;height:39.7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WzJgIAAE0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">
                <v:textbox>
                  <w:txbxContent>
                    <w:p w:rsidR="008E1898" w:rsidRPr="008E1898" w:rsidRDefault="00244257" w:rsidP="008E189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E1898" w:rsidRPr="00C50361" w:rsidRDefault="008E1898" w:rsidP="003A50F1">
      <w:pPr>
        <w:tabs>
          <w:tab w:val="left" w:pos="2655"/>
        </w:tabs>
        <w:rPr>
          <w:rFonts w:cs="Arial"/>
          <w:sz w:val="24"/>
          <w:szCs w:val="24"/>
        </w:rPr>
      </w:pPr>
    </w:p>
    <w:p w:rsidR="00757857" w:rsidRDefault="0075785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2A48DA" w:rsidRDefault="002A48DA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E644B7" w:rsidRDefault="00E644B7" w:rsidP="003A50F1">
      <w:pPr>
        <w:tabs>
          <w:tab w:val="left" w:pos="2655"/>
        </w:tabs>
        <w:rPr>
          <w:rFonts w:cs="Arial"/>
          <w:b/>
          <w:sz w:val="24"/>
          <w:szCs w:val="24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244257" w:rsidRDefault="00244257" w:rsidP="00244257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</w:p>
    <w:p w:rsidR="00F925BD" w:rsidRDefault="00F925BD" w:rsidP="00F925BD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1206C9">
        <w:rPr>
          <w:rFonts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182880" distB="182880" distL="91440" distR="91440" simplePos="0" relativeHeight="251675648" behindDoc="0" locked="0" layoutInCell="1" allowOverlap="1" wp14:anchorId="11C601AA" wp14:editId="743A82F6">
                <wp:simplePos x="0" y="0"/>
                <wp:positionH relativeFrom="margin">
                  <wp:posOffset>114300</wp:posOffset>
                </wp:positionH>
                <wp:positionV relativeFrom="line">
                  <wp:posOffset>1333500</wp:posOffset>
                </wp:positionV>
                <wp:extent cx="5638800" cy="2590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90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5BD" w:rsidRPr="002A48DA" w:rsidRDefault="00F925BD" w:rsidP="00F925BD">
                            <w:pPr>
                              <w:pStyle w:val="IntenseQuote"/>
                              <w:spacing w:before="0" w:after="0"/>
                              <w:rPr>
                                <w:rFonts w:eastAsia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206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Once an appell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ant submits an appeal</w:t>
                            </w:r>
                            <w:r w:rsidRPr="001206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 Tr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affic Penalty Tribunal (TPT) Carlisle City</w:t>
                            </w:r>
                            <w:r w:rsidRPr="001206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Council may receive additional in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formation related to the</w:t>
                            </w:r>
                            <w:r w:rsidRPr="001206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case.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Having reviewing the additional information, the Council may decide to cancel the PCN. The reason for cancellation would be either; one of the 9 grounds for cancellation has been established or further </w:t>
                            </w:r>
                            <w:bookmarkStart w:id="0" w:name="_GoBack"/>
                            <w:bookmarkEnd w:id="0"/>
                            <w:r w:rsidR="00B445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compelling evidence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has been provided. When a Council decision is made to cancel a PCN, the adjudicators will be informed; this is described as the Council not challenging (non-contested) at the appeal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9pt;margin-top:105pt;width:444pt;height:204pt;z-index:25167564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" fillcolor="#4f81bd [3204]" stroked="f" strokeweight=".5pt">
                <v:textbox inset="0,0,0,0">
                  <w:txbxContent>
                    <w:p w:rsidR="00F925BD" w:rsidRPr="002A48DA" w:rsidRDefault="00F925BD" w:rsidP="00F925BD">
                      <w:pPr>
                        <w:pStyle w:val="IntenseQuote"/>
                        <w:spacing w:before="0" w:after="0"/>
                        <w:rPr>
                          <w:rFonts w:eastAsiaTheme="minorHAnsi"/>
                          <w:b w:val="0"/>
                          <w:sz w:val="28"/>
                          <w:szCs w:val="28"/>
                        </w:rPr>
                      </w:pPr>
                      <w:r w:rsidRPr="001206C9">
                        <w:rPr>
                          <w:color w:val="FFFFFF" w:themeColor="background1"/>
                          <w:sz w:val="28"/>
                          <w:szCs w:val="28"/>
                        </w:rPr>
                        <w:t>Once an appell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ant submits an appeal</w:t>
                      </w:r>
                      <w:r w:rsidRPr="001206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the Tr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affic Penalty Tribunal (TPT) Carlisle City</w:t>
                      </w:r>
                      <w:r w:rsidRPr="001206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Council may receive additional in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formation related to the</w:t>
                      </w:r>
                      <w:r w:rsidRPr="001206C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case.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Having reviewing the additional information, the Council may decide to cancel the PCN. The reason for cancellation would be either; one of the 9 grounds for cancellation has been established or further </w:t>
                      </w:r>
                      <w:bookmarkStart w:id="1" w:name="_GoBack"/>
                      <w:bookmarkEnd w:id="1"/>
                      <w:r w:rsidR="00B4454A">
                        <w:rPr>
                          <w:color w:val="FFFFFF" w:themeColor="background1"/>
                          <w:sz w:val="28"/>
                          <w:szCs w:val="28"/>
                        </w:rPr>
                        <w:t>compelling evidence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has been provided. When a Council decision is made to cancel a PCN, the adjudicators will be informed; this is described as the Council not challenging (non-contested) at the appeal stage.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E644B7">
        <w:rPr>
          <w:rFonts w:cs="Arial"/>
          <w:b/>
          <w:sz w:val="40"/>
          <w:szCs w:val="40"/>
          <w:u w:val="single"/>
        </w:rPr>
        <w:t xml:space="preserve">PCNs NOT CHALLENGED BY CARLISLE CITY COUNCIL AT </w:t>
      </w:r>
    </w:p>
    <w:p w:rsidR="00244257" w:rsidRDefault="00F925BD" w:rsidP="00F925BD">
      <w:pPr>
        <w:tabs>
          <w:tab w:val="left" w:pos="2655"/>
        </w:tabs>
        <w:jc w:val="center"/>
        <w:rPr>
          <w:rFonts w:cs="Arial"/>
          <w:b/>
          <w:sz w:val="40"/>
          <w:szCs w:val="40"/>
          <w:u w:val="single"/>
        </w:rPr>
      </w:pPr>
      <w:r w:rsidRPr="00E644B7">
        <w:rPr>
          <w:rFonts w:cs="Arial"/>
          <w:b/>
          <w:sz w:val="40"/>
          <w:szCs w:val="40"/>
          <w:u w:val="single"/>
        </w:rPr>
        <w:t>ADJUDICATION</w:t>
      </w:r>
    </w:p>
    <w:p w:rsidR="000A5FF1" w:rsidRDefault="000A5FF1" w:rsidP="00F925BD">
      <w:pPr>
        <w:tabs>
          <w:tab w:val="left" w:pos="2655"/>
        </w:tabs>
        <w:rPr>
          <w:rFonts w:cs="Arial"/>
          <w:b/>
          <w:sz w:val="40"/>
          <w:szCs w:val="40"/>
          <w:u w:val="single"/>
        </w:rPr>
      </w:pPr>
    </w:p>
    <w:p w:rsidR="001206C9" w:rsidRDefault="001206C9" w:rsidP="00C50361">
      <w:pPr>
        <w:tabs>
          <w:tab w:val="left" w:pos="3300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330"/>
        <w:gridCol w:w="2845"/>
      </w:tblGrid>
      <w:tr w:rsidR="005E0DEF" w:rsidTr="005E0DEF">
        <w:tc>
          <w:tcPr>
            <w:tcW w:w="3395" w:type="dxa"/>
          </w:tcPr>
          <w:p w:rsidR="005E0DEF" w:rsidRPr="008E1898" w:rsidRDefault="005E0DEF" w:rsidP="008E1898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E1898">
              <w:rPr>
                <w:rFonts w:cs="Arial"/>
                <w:b/>
                <w:sz w:val="24"/>
                <w:szCs w:val="24"/>
              </w:rPr>
              <w:t>REASON</w:t>
            </w:r>
          </w:p>
        </w:tc>
        <w:tc>
          <w:tcPr>
            <w:tcW w:w="3330" w:type="dxa"/>
          </w:tcPr>
          <w:p w:rsidR="005E0DEF" w:rsidRPr="008E1898" w:rsidRDefault="005E0DEF" w:rsidP="008E1898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E1898">
              <w:rPr>
                <w:rFonts w:cs="Arial"/>
                <w:b/>
                <w:sz w:val="24"/>
                <w:szCs w:val="24"/>
              </w:rPr>
              <w:t>NUMBER OF PCNs CANCELLED</w:t>
            </w:r>
          </w:p>
          <w:p w:rsidR="005E0DEF" w:rsidRDefault="005E0DEF" w:rsidP="00C50361">
            <w:pPr>
              <w:tabs>
                <w:tab w:val="left" w:pos="330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5E0DEF" w:rsidRPr="008E1898" w:rsidRDefault="005E0DEF" w:rsidP="008E1898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5E0DEF" w:rsidTr="005E0DEF">
        <w:tc>
          <w:tcPr>
            <w:tcW w:w="3395" w:type="dxa"/>
          </w:tcPr>
          <w:p w:rsidR="005E0DEF" w:rsidRDefault="005E0DEF" w:rsidP="00C50361">
            <w:pPr>
              <w:tabs>
                <w:tab w:val="left" w:pos="330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STATUTORY GROUNDS ESTABLISHED</w:t>
            </w:r>
          </w:p>
        </w:tc>
        <w:tc>
          <w:tcPr>
            <w:tcW w:w="3330" w:type="dxa"/>
          </w:tcPr>
          <w:p w:rsidR="005E0DEF" w:rsidRPr="00244257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57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E0DEF" w:rsidRPr="00244257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5E0DEF" w:rsidTr="005E0DEF">
        <w:tc>
          <w:tcPr>
            <w:tcW w:w="3395" w:type="dxa"/>
          </w:tcPr>
          <w:p w:rsidR="005E0DEF" w:rsidRDefault="005E0DEF" w:rsidP="00C50361">
            <w:pPr>
              <w:tabs>
                <w:tab w:val="left" w:pos="330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 COUNCIL DISCRETION</w:t>
            </w:r>
          </w:p>
        </w:tc>
        <w:tc>
          <w:tcPr>
            <w:tcW w:w="3330" w:type="dxa"/>
          </w:tcPr>
          <w:p w:rsidR="005E0DEF" w:rsidRPr="00244257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57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E0DEF" w:rsidRPr="00244257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5E0DEF" w:rsidTr="005E0DEF">
        <w:tc>
          <w:tcPr>
            <w:tcW w:w="3395" w:type="dxa"/>
          </w:tcPr>
          <w:p w:rsidR="005E0DEF" w:rsidRPr="008E1898" w:rsidRDefault="005E0DEF" w:rsidP="008E1898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E1898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:rsidR="005E0DEF" w:rsidRPr="008E1898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E0DEF" w:rsidRPr="008E1898" w:rsidRDefault="00244257" w:rsidP="00244257">
            <w:pPr>
              <w:tabs>
                <w:tab w:val="left" w:pos="33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</w:tbl>
    <w:p w:rsidR="004E5715" w:rsidRDefault="004E5715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4E5715" w:rsidRDefault="004E57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206C9" w:rsidRDefault="001206C9" w:rsidP="00C50361">
      <w:pPr>
        <w:tabs>
          <w:tab w:val="left" w:pos="3300"/>
        </w:tabs>
        <w:rPr>
          <w:rFonts w:cs="Arial"/>
          <w:sz w:val="24"/>
          <w:szCs w:val="24"/>
        </w:rPr>
      </w:pP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222"/>
        <w:gridCol w:w="4865"/>
        <w:gridCol w:w="1207"/>
        <w:gridCol w:w="1432"/>
        <w:gridCol w:w="222"/>
        <w:gridCol w:w="236"/>
        <w:gridCol w:w="236"/>
        <w:gridCol w:w="194"/>
        <w:gridCol w:w="28"/>
        <w:gridCol w:w="194"/>
        <w:gridCol w:w="28"/>
        <w:gridCol w:w="194"/>
        <w:gridCol w:w="28"/>
      </w:tblGrid>
      <w:tr w:rsidR="00190AB0" w:rsidRPr="00190AB0" w:rsidTr="000A5FF1">
        <w:trPr>
          <w:gridAfter w:val="1"/>
          <w:wAfter w:w="28" w:type="dxa"/>
          <w:trHeight w:val="315"/>
        </w:trPr>
        <w:tc>
          <w:tcPr>
            <w:tcW w:w="9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n-GB"/>
              </w:rPr>
              <w:t>Financial Performance</w:t>
            </w:r>
          </w:p>
          <w:p w:rsid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D09A1" w:rsidRDefault="00ED09A1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 on Carlisle City Councils Off Street Parking Account (Kept </w:t>
            </w:r>
          </w:p>
        </w:tc>
      </w:tr>
      <w:tr w:rsidR="00190AB0" w:rsidRPr="00190AB0" w:rsidTr="000A5FF1">
        <w:trPr>
          <w:gridAfter w:val="1"/>
          <w:wAfter w:w="28" w:type="dxa"/>
          <w:trHeight w:val="315"/>
        </w:trPr>
        <w:tc>
          <w:tcPr>
            <w:tcW w:w="9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Under Section 55 of the Road Traffic Act 1984 - as amended) for the </w:t>
            </w:r>
          </w:p>
        </w:tc>
      </w:tr>
      <w:tr w:rsidR="00190AB0" w:rsidRPr="00190AB0" w:rsidTr="000A5FF1">
        <w:trPr>
          <w:gridAfter w:val="1"/>
          <w:wAfter w:w="28" w:type="dxa"/>
          <w:trHeight w:val="315"/>
        </w:trPr>
        <w:tc>
          <w:tcPr>
            <w:tcW w:w="8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financial year ended 31st March 2015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34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OFF STREET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31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 Street Parking Penalty Charges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30,457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Recharges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378,400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 &amp; Display Ticket Income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936,944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 Parking Income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79,136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 VAT Overpayment Repaid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13,234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Guaranteed Rent or Contribution in Lieu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24,233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5E4E0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5E4E0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4E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0A5FF1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4E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1,462,404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5E4E0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315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Employee Related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212,838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266,189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Supplies &amp; Services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20,434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Party Payments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69,724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Services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142,761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11,365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5E4E0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0A5FF1">
              <w:rPr>
                <w:rFonts w:ascii="Arial" w:eastAsia="Times New Roman" w:hAnsi="Arial" w:cs="Arial"/>
                <w:b/>
                <w:color w:val="FF0000"/>
                <w:lang w:eastAsia="en-GB"/>
              </w:rPr>
              <w:t>723,311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0A5FF1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AB0" w:rsidRPr="00190AB0" w:rsidTr="000A5FF1">
        <w:trPr>
          <w:trHeight w:val="373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90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 (Surplus)/</w:t>
            </w:r>
            <w:r w:rsidRPr="000A5F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Deficit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190AB0" w:rsidP="00190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4E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(739,093)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0" w:rsidRPr="005E4E08" w:rsidRDefault="00190AB0" w:rsidP="00190A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90AB0" w:rsidRPr="00190AB0" w:rsidRDefault="00190AB0" w:rsidP="0019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E5715" w:rsidRDefault="004E5715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ED09A1" w:rsidRDefault="00ED09A1" w:rsidP="00C50361">
      <w:pPr>
        <w:tabs>
          <w:tab w:val="left" w:pos="3300"/>
        </w:tabs>
        <w:rPr>
          <w:rFonts w:cs="Arial"/>
          <w:sz w:val="24"/>
          <w:szCs w:val="24"/>
        </w:rPr>
      </w:pPr>
    </w:p>
    <w:p w:rsidR="00ED09A1" w:rsidRPr="00C50361" w:rsidRDefault="00ED09A1" w:rsidP="00C50361">
      <w:pPr>
        <w:tabs>
          <w:tab w:val="left" w:pos="33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surplus funds raised through the provision of Off-Street parking facilities are used to offset the costs to Carlisle City Council of providing services to the public.</w:t>
      </w:r>
      <w:r w:rsidR="005E4E08">
        <w:rPr>
          <w:rFonts w:cs="Arial"/>
          <w:sz w:val="24"/>
          <w:szCs w:val="24"/>
        </w:rPr>
        <w:t xml:space="preserve"> Without these surplus funds tho</w:t>
      </w:r>
      <w:r>
        <w:rPr>
          <w:rFonts w:cs="Arial"/>
          <w:sz w:val="24"/>
          <w:szCs w:val="24"/>
        </w:rPr>
        <w:t>se costs would have to be met through increased Council tax.</w:t>
      </w:r>
    </w:p>
    <w:sectPr w:rsidR="00ED09A1" w:rsidRPr="00C50361" w:rsidSect="001B38AE">
      <w:headerReference w:type="default" r:id="rId14"/>
      <w:footerReference w:type="default" r:id="rId15"/>
      <w:pgSz w:w="11906" w:h="16838"/>
      <w:pgMar w:top="907" w:right="1412" w:bottom="1440" w:left="11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48" w:rsidRDefault="00914448" w:rsidP="00FE4DB1">
      <w:pPr>
        <w:spacing w:after="0" w:line="240" w:lineRule="auto"/>
      </w:pPr>
      <w:r>
        <w:separator/>
      </w:r>
    </w:p>
  </w:endnote>
  <w:endnote w:type="continuationSeparator" w:id="0">
    <w:p w:rsidR="00914448" w:rsidRDefault="00914448" w:rsidP="00F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B32" w:rsidRDefault="00A17B3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B32" w:rsidRDefault="00A17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48" w:rsidRDefault="00914448" w:rsidP="00FE4DB1">
      <w:pPr>
        <w:spacing w:after="0" w:line="240" w:lineRule="auto"/>
      </w:pPr>
      <w:r>
        <w:separator/>
      </w:r>
    </w:p>
  </w:footnote>
  <w:footnote w:type="continuationSeparator" w:id="0">
    <w:p w:rsidR="00914448" w:rsidRDefault="00914448" w:rsidP="00F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E0" w:rsidRPr="00C436E0" w:rsidRDefault="00A2797B" w:rsidP="00C436E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OFF STREET </w:t>
    </w:r>
    <w:r w:rsidR="00C436E0" w:rsidRPr="00C436E0">
      <w:rPr>
        <w:b/>
        <w:sz w:val="40"/>
        <w:szCs w:val="40"/>
      </w:rPr>
      <w:t>ANNUAL PARKING REPORT 2014 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2B6"/>
    <w:multiLevelType w:val="hybridMultilevel"/>
    <w:tmpl w:val="AA843474"/>
    <w:lvl w:ilvl="0" w:tplc="0809000F">
      <w:start w:val="1"/>
      <w:numFmt w:val="decimal"/>
      <w:lvlText w:val="%1."/>
      <w:lvlJc w:val="left"/>
      <w:pPr>
        <w:ind w:left="1656" w:hanging="360"/>
      </w:p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55CF2BDF"/>
    <w:multiLevelType w:val="hybridMultilevel"/>
    <w:tmpl w:val="A04ACA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CD92CB6"/>
    <w:multiLevelType w:val="hybridMultilevel"/>
    <w:tmpl w:val="1E40E16C"/>
    <w:lvl w:ilvl="0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6EC97385"/>
    <w:multiLevelType w:val="hybridMultilevel"/>
    <w:tmpl w:val="9B021A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1"/>
    <w:rsid w:val="00011BAE"/>
    <w:rsid w:val="0002750F"/>
    <w:rsid w:val="00034476"/>
    <w:rsid w:val="00044FCA"/>
    <w:rsid w:val="00080609"/>
    <w:rsid w:val="00085C38"/>
    <w:rsid w:val="000957CC"/>
    <w:rsid w:val="000A5FF1"/>
    <w:rsid w:val="00114476"/>
    <w:rsid w:val="001206C9"/>
    <w:rsid w:val="00187E0A"/>
    <w:rsid w:val="00190AB0"/>
    <w:rsid w:val="001B38AE"/>
    <w:rsid w:val="00205538"/>
    <w:rsid w:val="002365BB"/>
    <w:rsid w:val="00244257"/>
    <w:rsid w:val="00253709"/>
    <w:rsid w:val="002565CF"/>
    <w:rsid w:val="00261E39"/>
    <w:rsid w:val="002877A4"/>
    <w:rsid w:val="002A48DA"/>
    <w:rsid w:val="002A4D36"/>
    <w:rsid w:val="00311441"/>
    <w:rsid w:val="00321667"/>
    <w:rsid w:val="0034694F"/>
    <w:rsid w:val="003A498B"/>
    <w:rsid w:val="003A50F1"/>
    <w:rsid w:val="003B1B9C"/>
    <w:rsid w:val="003C0B58"/>
    <w:rsid w:val="003D5E3D"/>
    <w:rsid w:val="003E01A6"/>
    <w:rsid w:val="004001AE"/>
    <w:rsid w:val="00473314"/>
    <w:rsid w:val="004E5715"/>
    <w:rsid w:val="004E75CE"/>
    <w:rsid w:val="00553662"/>
    <w:rsid w:val="00580BB2"/>
    <w:rsid w:val="00592AF4"/>
    <w:rsid w:val="005C5558"/>
    <w:rsid w:val="005D37BE"/>
    <w:rsid w:val="005E0DEF"/>
    <w:rsid w:val="005E4E08"/>
    <w:rsid w:val="00620AD0"/>
    <w:rsid w:val="00640BD1"/>
    <w:rsid w:val="006433CE"/>
    <w:rsid w:val="0065085B"/>
    <w:rsid w:val="00663635"/>
    <w:rsid w:val="006C4E05"/>
    <w:rsid w:val="00703BC9"/>
    <w:rsid w:val="007211AF"/>
    <w:rsid w:val="00727AAE"/>
    <w:rsid w:val="00757857"/>
    <w:rsid w:val="007A2D80"/>
    <w:rsid w:val="007B0D9D"/>
    <w:rsid w:val="007B34A8"/>
    <w:rsid w:val="007C604E"/>
    <w:rsid w:val="0083432A"/>
    <w:rsid w:val="00857789"/>
    <w:rsid w:val="00860B7A"/>
    <w:rsid w:val="008A6EAD"/>
    <w:rsid w:val="008E1898"/>
    <w:rsid w:val="009034BB"/>
    <w:rsid w:val="00914448"/>
    <w:rsid w:val="009A688D"/>
    <w:rsid w:val="009B18F2"/>
    <w:rsid w:val="009C3BAB"/>
    <w:rsid w:val="009E77BD"/>
    <w:rsid w:val="00A17B32"/>
    <w:rsid w:val="00A2797B"/>
    <w:rsid w:val="00A71A34"/>
    <w:rsid w:val="00A8224A"/>
    <w:rsid w:val="00B05175"/>
    <w:rsid w:val="00B121D4"/>
    <w:rsid w:val="00B4454A"/>
    <w:rsid w:val="00B46CAD"/>
    <w:rsid w:val="00BD52B5"/>
    <w:rsid w:val="00C436E0"/>
    <w:rsid w:val="00C50361"/>
    <w:rsid w:val="00CA6864"/>
    <w:rsid w:val="00CB5B7A"/>
    <w:rsid w:val="00CC7FAA"/>
    <w:rsid w:val="00D23FB3"/>
    <w:rsid w:val="00D45157"/>
    <w:rsid w:val="00DB450D"/>
    <w:rsid w:val="00DC3480"/>
    <w:rsid w:val="00DD4F9A"/>
    <w:rsid w:val="00DF7352"/>
    <w:rsid w:val="00E4023C"/>
    <w:rsid w:val="00E56609"/>
    <w:rsid w:val="00E631F1"/>
    <w:rsid w:val="00E644B7"/>
    <w:rsid w:val="00E85072"/>
    <w:rsid w:val="00ED09A1"/>
    <w:rsid w:val="00ED79EF"/>
    <w:rsid w:val="00F84B8E"/>
    <w:rsid w:val="00F925BD"/>
    <w:rsid w:val="00F96524"/>
    <w:rsid w:val="00FE4DB1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B1"/>
  </w:style>
  <w:style w:type="paragraph" w:styleId="Footer">
    <w:name w:val="footer"/>
    <w:basedOn w:val="Normal"/>
    <w:link w:val="Foot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B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B2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06C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06C9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B34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3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3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A2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B1"/>
  </w:style>
  <w:style w:type="paragraph" w:styleId="Footer">
    <w:name w:val="footer"/>
    <w:basedOn w:val="Normal"/>
    <w:link w:val="FooterChar"/>
    <w:uiPriority w:val="99"/>
    <w:unhideWhenUsed/>
    <w:rsid w:val="00F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B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B2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06C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06C9"/>
    <w:rPr>
      <w:rFonts w:eastAsiaTheme="minorEastAsia"/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B34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B3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3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B3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A2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PCNs ISSUED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HIGHER</c:v>
                </c:pt>
                <c:pt idx="1">
                  <c:v>LOWER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137</c:v>
                </c:pt>
                <c:pt idx="1">
                  <c:v>1180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PCNs PAID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HIGHER</c:v>
                </c:pt>
                <c:pt idx="1">
                  <c:v>LOWER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147</c:v>
                </c:pt>
                <c:pt idx="1">
                  <c:v>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/ 2015</PublishDate>
  <Abstract>REFGEREFG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97253-6EB6-4A22-AB66-1D42EFB1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Chandler</dc:creator>
  <cp:lastModifiedBy>Richard Chandler</cp:lastModifiedBy>
  <cp:revision>2</cp:revision>
  <cp:lastPrinted>2015-08-21T13:40:00Z</cp:lastPrinted>
  <dcterms:created xsi:type="dcterms:W3CDTF">2015-09-02T12:44:00Z</dcterms:created>
  <dcterms:modified xsi:type="dcterms:W3CDTF">2015-09-02T12:44:00Z</dcterms:modified>
</cp:coreProperties>
</file>